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2" w:rsidRPr="003C1347" w:rsidRDefault="009F56F2" w:rsidP="009F56F2">
      <w:pPr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3C1347">
        <w:rPr>
          <w:rFonts w:cstheme="minorHAnsi"/>
          <w:b/>
          <w:bCs/>
          <w:iCs/>
          <w:color w:val="000000"/>
          <w:sz w:val="20"/>
          <w:szCs w:val="20"/>
          <w:shd w:val="clear" w:color="auto" w:fill="FFFFFF"/>
        </w:rPr>
        <w:t>Re</w:t>
      </w:r>
      <w:r w:rsidRPr="003C1347">
        <w:rPr>
          <w:rFonts w:cstheme="minorHAnsi"/>
          <w:b/>
          <w:color w:val="000000"/>
          <w:sz w:val="20"/>
          <w:szCs w:val="20"/>
          <w:shd w:val="clear" w:color="auto" w:fill="FFFFFF"/>
        </w:rPr>
        <w:t>solución XXX de XX de XXX de 2017</w:t>
      </w:r>
    </w:p>
    <w:p w:rsidR="009F56F2" w:rsidRPr="003C1347" w:rsidRDefault="009F56F2" w:rsidP="009F56F2">
      <w:pPr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C1347">
        <w:rPr>
          <w:rFonts w:cstheme="minorHAnsi"/>
          <w:color w:val="000000"/>
          <w:sz w:val="20"/>
          <w:szCs w:val="20"/>
          <w:shd w:val="clear" w:color="auto" w:fill="FFFFFF"/>
        </w:rPr>
        <w:t xml:space="preserve">“Por el cual se adopta la Política de Prevención de consumo </w:t>
      </w:r>
      <w:r w:rsidR="001C7A26" w:rsidRPr="003C1347">
        <w:rPr>
          <w:rFonts w:cstheme="minorHAnsi"/>
          <w:color w:val="000000"/>
          <w:sz w:val="20"/>
          <w:szCs w:val="20"/>
          <w:shd w:val="clear" w:color="auto" w:fill="FFFFFF"/>
        </w:rPr>
        <w:t>de Alcohol</w:t>
      </w:r>
      <w:r w:rsidRPr="003C1347">
        <w:rPr>
          <w:rFonts w:cstheme="minorHAnsi"/>
          <w:color w:val="000000"/>
          <w:sz w:val="20"/>
          <w:szCs w:val="20"/>
          <w:shd w:val="clear" w:color="auto" w:fill="FFFFFF"/>
        </w:rPr>
        <w:t xml:space="preserve">, Tabaco y Drogas en </w:t>
      </w:r>
      <w:r w:rsidR="001C7A26" w:rsidRPr="003C1347">
        <w:rPr>
          <w:rFonts w:cstheme="minorHAnsi"/>
          <w:color w:val="000000"/>
          <w:sz w:val="20"/>
          <w:szCs w:val="20"/>
          <w:shd w:val="clear" w:color="auto" w:fill="FFFFFF"/>
        </w:rPr>
        <w:t xml:space="preserve">el </w:t>
      </w:r>
      <w:r w:rsidR="001C7A26" w:rsidRPr="003C1347">
        <w:rPr>
          <w:rFonts w:cstheme="minorHAnsi"/>
          <w:sz w:val="20"/>
          <w:szCs w:val="20"/>
        </w:rPr>
        <w:t>Instituto</w:t>
      </w:r>
      <w:r w:rsidRPr="003C1347">
        <w:rPr>
          <w:rFonts w:cstheme="minorHAnsi"/>
          <w:sz w:val="20"/>
          <w:szCs w:val="20"/>
        </w:rPr>
        <w:t xml:space="preserve"> de Instituto de Hidrología, Meteorología y Estudios Ambientales</w:t>
      </w:r>
      <w:r w:rsidRPr="003C1347">
        <w:rPr>
          <w:rFonts w:cstheme="minorHAnsi"/>
          <w:color w:val="000000"/>
          <w:sz w:val="20"/>
          <w:szCs w:val="20"/>
          <w:shd w:val="clear" w:color="auto" w:fill="FFFFFF"/>
        </w:rPr>
        <w:t>”</w:t>
      </w:r>
    </w:p>
    <w:p w:rsidR="009F56F2" w:rsidRPr="003C1347" w:rsidRDefault="009F56F2" w:rsidP="009F56F2">
      <w:pPr>
        <w:jc w:val="center"/>
        <w:rPr>
          <w:rFonts w:cstheme="minorHAnsi"/>
          <w:b/>
          <w:bCs/>
          <w:iCs/>
          <w:color w:val="000000"/>
          <w:sz w:val="20"/>
          <w:szCs w:val="20"/>
          <w:shd w:val="clear" w:color="auto" w:fill="FFFFFF"/>
        </w:rPr>
      </w:pPr>
      <w:r w:rsidRPr="003C1347">
        <w:rPr>
          <w:rFonts w:cstheme="minorHAnsi"/>
          <w:b/>
          <w:bCs/>
          <w:iCs/>
          <w:color w:val="000000"/>
          <w:sz w:val="20"/>
          <w:szCs w:val="20"/>
          <w:shd w:val="clear" w:color="auto" w:fill="FFFFFF"/>
        </w:rPr>
        <w:t>La Dirección General del IDEAM</w:t>
      </w:r>
    </w:p>
    <w:p w:rsidR="009F56F2" w:rsidRPr="003C1347" w:rsidRDefault="009F56F2" w:rsidP="009F56F2">
      <w:pPr>
        <w:jc w:val="center"/>
        <w:rPr>
          <w:rFonts w:cstheme="minorHAnsi"/>
          <w:b/>
          <w:sz w:val="20"/>
          <w:szCs w:val="20"/>
          <w:lang w:val="es-CO"/>
        </w:rPr>
      </w:pPr>
      <w:r w:rsidRPr="003C1347">
        <w:rPr>
          <w:rFonts w:cstheme="minorHAnsi"/>
          <w:b/>
          <w:sz w:val="20"/>
          <w:szCs w:val="20"/>
          <w:lang w:val="es-CO"/>
        </w:rPr>
        <w:t>Considerando: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 xml:space="preserve">Que los </w:t>
      </w:r>
      <w:r w:rsidR="00E047E7" w:rsidRPr="003C1347">
        <w:rPr>
          <w:rFonts w:cstheme="minorHAnsi"/>
          <w:sz w:val="20"/>
          <w:szCs w:val="20"/>
        </w:rPr>
        <w:t>artículos 84</w:t>
      </w:r>
      <w:r w:rsidRPr="003C1347">
        <w:rPr>
          <w:rFonts w:cstheme="minorHAnsi"/>
          <w:sz w:val="20"/>
          <w:szCs w:val="20"/>
        </w:rPr>
        <w:t>°, 85°, 125°, 470°, 477°, 594°, 595°, 597°, 599° de la Ley 9 de 1979 establecen la obligación de contar con un Programa de Salud Ocupacional en los lugares de trabajo y enmarcan los deberes y derechos del empleador y del trabajador.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 la Resolución 2400 de 1979</w:t>
      </w:r>
      <w:r w:rsidRPr="003C1347">
        <w:rPr>
          <w:rFonts w:cstheme="minorHAnsi"/>
          <w:b/>
          <w:sz w:val="20"/>
          <w:szCs w:val="20"/>
        </w:rPr>
        <w:t>,</w:t>
      </w:r>
      <w:r w:rsidRPr="003C1347">
        <w:rPr>
          <w:rFonts w:cstheme="minorHAnsi"/>
          <w:sz w:val="20"/>
          <w:szCs w:val="20"/>
        </w:rPr>
        <w:t xml:space="preserve"> por la cual se establecen disposiciones sobre vivienda, higiene y seguridad en los establecimientos de trabajo</w:t>
      </w:r>
      <w:r w:rsidRPr="003C1347">
        <w:rPr>
          <w:rStyle w:val="Refdenotaalpie"/>
          <w:rFonts w:cstheme="minorHAnsi"/>
          <w:sz w:val="20"/>
          <w:szCs w:val="20"/>
        </w:rPr>
        <w:footnoteReference w:id="1"/>
      </w:r>
      <w:r w:rsidRPr="003C1347">
        <w:rPr>
          <w:rFonts w:cstheme="minorHAnsi"/>
          <w:sz w:val="20"/>
          <w:szCs w:val="20"/>
        </w:rPr>
        <w:t>, en su artículo  3° establece la obligación de los trabajadores especialistas en salud ocupacional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 xml:space="preserve">Que en la Ley 30 de 1986, por la cual se adopta el Estatuto Nacional de Estupefacientes y se dictan otras </w:t>
      </w:r>
      <w:r w:rsidR="001C7A26" w:rsidRPr="003C1347">
        <w:rPr>
          <w:rFonts w:cstheme="minorHAnsi"/>
          <w:sz w:val="20"/>
          <w:szCs w:val="20"/>
        </w:rPr>
        <w:t>disposiciones, establece</w:t>
      </w:r>
      <w:r w:rsidRPr="003C1347">
        <w:rPr>
          <w:rFonts w:cstheme="minorHAnsi"/>
          <w:sz w:val="20"/>
          <w:szCs w:val="20"/>
        </w:rPr>
        <w:t xml:space="preserve"> las contravenciones en que incurre el empleado y/o empleador ante el uso de </w:t>
      </w:r>
      <w:r w:rsidRPr="003C1347">
        <w:rPr>
          <w:rFonts w:cstheme="minorHAnsi"/>
          <w:color w:val="000000"/>
          <w:sz w:val="20"/>
          <w:szCs w:val="20"/>
          <w:shd w:val="clear" w:color="auto" w:fill="FFFFFF"/>
        </w:rPr>
        <w:t>Alcohol, Tabaco y/o Drogas</w:t>
      </w:r>
      <w:r w:rsidRPr="003C1347">
        <w:rPr>
          <w:rFonts w:cstheme="minorHAnsi"/>
          <w:sz w:val="20"/>
          <w:szCs w:val="20"/>
        </w:rPr>
        <w:t>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 xml:space="preserve">Mediante Resolución de 7036 de 1991 el Ministerio de Trabajo, adopta unas decisiones en relación con el consumo del cigarrillo </w:t>
      </w:r>
      <w:r w:rsidR="001C7A26" w:rsidRPr="003C1347">
        <w:rPr>
          <w:rFonts w:cstheme="minorHAnsi"/>
          <w:sz w:val="20"/>
          <w:szCs w:val="20"/>
        </w:rPr>
        <w:t>y prohíbe el</w:t>
      </w:r>
      <w:r w:rsidRPr="003C1347">
        <w:rPr>
          <w:rFonts w:cstheme="minorHAnsi"/>
          <w:sz w:val="20"/>
          <w:szCs w:val="20"/>
        </w:rPr>
        <w:t xml:space="preserve"> consumo de cigarrillo en las instalaciones del Ministerio de Salud y entidades adscritas.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 xml:space="preserve">Que con la Resolución 1075 de 1992, el Ministro de Trabajo y Seguridad Social, reglamenta las actividades en materia de Salud Ocupacional </w:t>
      </w:r>
      <w:r w:rsidR="00FE213C" w:rsidRPr="003C1347">
        <w:rPr>
          <w:rFonts w:cstheme="minorHAnsi"/>
          <w:sz w:val="20"/>
          <w:szCs w:val="20"/>
        </w:rPr>
        <w:t>y desarrolla</w:t>
      </w:r>
      <w:r w:rsidRPr="003C1347">
        <w:rPr>
          <w:rFonts w:cstheme="minorHAnsi"/>
          <w:sz w:val="20"/>
          <w:szCs w:val="20"/>
        </w:rPr>
        <w:t xml:space="preserve"> las actividades de prevención y control de la farmacodependencia como parte del subprograma de medicina preventiva.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 xml:space="preserve">Mediante Resolución 4225 de 1992, el Ministerio de Salud adopta unas medidas de carácter sanitario al Tabaquismo y realiza las recomendaciones para la formulación de políticas </w:t>
      </w:r>
      <w:proofErr w:type="spellStart"/>
      <w:r w:rsidRPr="003C1347">
        <w:rPr>
          <w:rFonts w:cstheme="minorHAnsi"/>
          <w:sz w:val="20"/>
          <w:szCs w:val="20"/>
        </w:rPr>
        <w:t>antitabáquicas</w:t>
      </w:r>
      <w:proofErr w:type="spellEnd"/>
      <w:r w:rsidRPr="003C1347">
        <w:rPr>
          <w:rFonts w:cstheme="minorHAnsi"/>
          <w:sz w:val="20"/>
          <w:szCs w:val="20"/>
        </w:rPr>
        <w:t xml:space="preserve"> en las empresas.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 en el Decreto 1108 de 1994 el legislador ejecutivo sistematiza, coordina y reglamenta algunas disposiciones en relación con el porte y consumo de estupefacientes y sustancias psicotrópicas.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 xml:space="preserve">Que el Decreto 1295 de 1994 al determinar la organización y administración del Sistema General de Riesgos </w:t>
      </w:r>
      <w:r w:rsidR="00E047E7" w:rsidRPr="003C1347">
        <w:rPr>
          <w:rFonts w:cstheme="minorHAnsi"/>
          <w:sz w:val="20"/>
          <w:szCs w:val="20"/>
        </w:rPr>
        <w:t>Profesionales, estableció</w:t>
      </w:r>
      <w:r w:rsidRPr="003C1347">
        <w:rPr>
          <w:rFonts w:cstheme="minorHAnsi"/>
          <w:sz w:val="20"/>
          <w:szCs w:val="20"/>
        </w:rPr>
        <w:t xml:space="preserve"> los derechos y deberes de los trabajadores, empleadores y administradoras de profesionales. 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</w:t>
      </w:r>
      <w:r w:rsidR="00E047E7">
        <w:rPr>
          <w:rFonts w:cstheme="minorHAnsi"/>
          <w:sz w:val="20"/>
          <w:szCs w:val="20"/>
        </w:rPr>
        <w:t>,</w:t>
      </w:r>
      <w:r w:rsidRPr="003C1347">
        <w:rPr>
          <w:rFonts w:cstheme="minorHAnsi"/>
          <w:sz w:val="20"/>
          <w:szCs w:val="20"/>
        </w:rPr>
        <w:t xml:space="preserve"> en la Resolución 2358 de 1998, expedida por Ministro de Salud adopta la Política Nacional de Salud Mental y la estrategia de disminución del riesgo del consumo de sustancias psicoactivas.</w:t>
      </w:r>
    </w:p>
    <w:p w:rsidR="009167C8" w:rsidRPr="003C1347" w:rsidRDefault="00E047E7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Que,</w:t>
      </w:r>
      <w:r w:rsidR="009F56F2" w:rsidRPr="003C1347">
        <w:rPr>
          <w:rFonts w:cstheme="minorHAnsi"/>
          <w:sz w:val="20"/>
          <w:szCs w:val="20"/>
        </w:rPr>
        <w:t xml:space="preserve"> en el Código </w:t>
      </w:r>
      <w:r w:rsidRPr="003C1347">
        <w:rPr>
          <w:rFonts w:cstheme="minorHAnsi"/>
          <w:sz w:val="20"/>
          <w:szCs w:val="20"/>
        </w:rPr>
        <w:t>Penal, preceptúa</w:t>
      </w:r>
      <w:r w:rsidR="009F56F2" w:rsidRPr="003C1347">
        <w:rPr>
          <w:rFonts w:cstheme="minorHAnsi"/>
          <w:sz w:val="20"/>
          <w:szCs w:val="20"/>
        </w:rPr>
        <w:t xml:space="preserve"> las sanciones por porte de sustancias psicoactivas ilegales. </w:t>
      </w:r>
    </w:p>
    <w:p w:rsidR="009167C8" w:rsidRPr="003C1347" w:rsidRDefault="009167C8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 xml:space="preserve">Mediante el </w:t>
      </w:r>
      <w:r w:rsidR="009F56F2" w:rsidRPr="003C1347">
        <w:rPr>
          <w:rFonts w:cstheme="minorHAnsi"/>
          <w:sz w:val="20"/>
          <w:szCs w:val="20"/>
        </w:rPr>
        <w:t>Plan Nacional de Lucha contra las drogas, Colombia 1998-2002</w:t>
      </w:r>
      <w:r w:rsidRPr="003C1347">
        <w:rPr>
          <w:rFonts w:cstheme="minorHAnsi"/>
          <w:sz w:val="20"/>
          <w:szCs w:val="20"/>
        </w:rPr>
        <w:t>,</w:t>
      </w:r>
      <w:r w:rsidR="009F56F2" w:rsidRPr="003C1347">
        <w:rPr>
          <w:rFonts w:cstheme="minorHAnsi"/>
          <w:sz w:val="20"/>
          <w:szCs w:val="20"/>
        </w:rPr>
        <w:t xml:space="preserve"> </w:t>
      </w:r>
      <w:r w:rsidRPr="003C1347">
        <w:rPr>
          <w:rFonts w:cstheme="minorHAnsi"/>
          <w:sz w:val="20"/>
          <w:szCs w:val="20"/>
        </w:rPr>
        <w:t>se ordenó el</w:t>
      </w:r>
      <w:r w:rsidR="009F56F2" w:rsidRPr="003C1347">
        <w:rPr>
          <w:rFonts w:cstheme="minorHAnsi"/>
          <w:sz w:val="20"/>
          <w:szCs w:val="20"/>
        </w:rPr>
        <w:t xml:space="preserve"> desarrollo de programas y estrategias para la reinserción socio-laboral de las personas afectadas por las drogas</w:t>
      </w:r>
      <w:r w:rsidRPr="003C1347">
        <w:rPr>
          <w:rFonts w:cstheme="minorHAnsi"/>
          <w:sz w:val="20"/>
          <w:szCs w:val="20"/>
        </w:rPr>
        <w:t>. Para ello advirtió la necesidad de implementar</w:t>
      </w:r>
      <w:r w:rsidR="009F56F2" w:rsidRPr="003C1347">
        <w:rPr>
          <w:rFonts w:cstheme="minorHAnsi"/>
          <w:sz w:val="20"/>
          <w:szCs w:val="20"/>
        </w:rPr>
        <w:t xml:space="preserve"> programas de prevención y promoción de la salud </w:t>
      </w:r>
      <w:r w:rsidRPr="003C1347">
        <w:rPr>
          <w:rFonts w:cstheme="minorHAnsi"/>
          <w:sz w:val="20"/>
          <w:szCs w:val="20"/>
        </w:rPr>
        <w:t>en las empresas, con la ayuda de los comités paritarios de salud ocupacional y las ARP. (Capitulo reducción de la demanda, meta No. 3)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  <w:highlight w:val="yellow"/>
        </w:rPr>
      </w:pPr>
      <w:r w:rsidRPr="003C1347">
        <w:rPr>
          <w:rFonts w:cstheme="minorHAnsi"/>
          <w:sz w:val="20"/>
          <w:szCs w:val="20"/>
        </w:rPr>
        <w:t>Que en la Resolución 412 de 2000, expedida por el Ministerio de Salud se establece la atención de enfermedades de interés en salud pública.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 el Decreto 2309 de 2002, crea el Sistema Obligatorio de Garantía de Calidad de la Atención en el Salud del Sistema General de Seguridad Social en Salud.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 la Resolución 196 de 2002, establece las normas técnicas, cientíﬁcas y administrativas para el funcionamiento de los centros de atención, tratamiento y rehabilitación integral, que prestan servicios de salud a personas con problemas asociados al consumo de sustancias psicoactivas y se dictan otras disposiciones.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 el Consejo Nacional de Seguridad en Salud, mediante Acuerdo No. 322 de 2005, estableció los valores que se reconoce a las “Entidades Promotoras de Salud” para el desarrollo de actividades de Promoción y Prevención, durante el año 2006.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 xml:space="preserve">Que en la Política Nacional de reducción del consumo de sustancias psicoactivas 2006, del Ministerio de Protección </w:t>
      </w:r>
      <w:r w:rsidR="00FE213C" w:rsidRPr="003C1347">
        <w:rPr>
          <w:rFonts w:cstheme="minorHAnsi"/>
          <w:sz w:val="20"/>
          <w:szCs w:val="20"/>
        </w:rPr>
        <w:t>Social</w:t>
      </w:r>
      <w:r w:rsidR="00FE213C">
        <w:rPr>
          <w:rFonts w:cstheme="minorHAnsi"/>
          <w:sz w:val="20"/>
          <w:szCs w:val="20"/>
        </w:rPr>
        <w:t xml:space="preserve">, </w:t>
      </w:r>
      <w:r w:rsidR="00FE213C" w:rsidRPr="003C1347">
        <w:rPr>
          <w:rFonts w:cstheme="minorHAnsi"/>
          <w:sz w:val="20"/>
          <w:szCs w:val="20"/>
        </w:rPr>
        <w:t>se</w:t>
      </w:r>
      <w:r w:rsidRPr="003C1347">
        <w:rPr>
          <w:rFonts w:cstheme="minorHAnsi"/>
          <w:sz w:val="20"/>
          <w:szCs w:val="20"/>
        </w:rPr>
        <w:t xml:space="preserve"> plantea los lineamientos generales de la política del Gobierno Nacional sobre reducción del consumo de sustancias psicoactivas en Colombia.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lastRenderedPageBreak/>
        <w:t xml:space="preserve">Que mediante Resolución No. 1956 de 2008, el Ministerio de la Protección Social, adopta algunas otras medidas en relación con el consumo de cigarrillo o de tabaco. 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 la Ley 1566 de 2012, establece las normas para garantizar la atención integral a personas que consumen sustancias psicoactivas y se crea el premio nacional “Entidad comprometida con la prevención del consumo, abuso y adicción a sustancias psicoactivas”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Que la Ley 1616 de 2013, se expide la ley de salud mental y se dictan otras disposiciones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En mérito de lo anteriormente expuesto:</w:t>
      </w:r>
    </w:p>
    <w:p w:rsidR="009F56F2" w:rsidRPr="003C1347" w:rsidRDefault="003C1347" w:rsidP="009F56F2">
      <w:pPr>
        <w:jc w:val="center"/>
        <w:rPr>
          <w:rFonts w:cstheme="minorHAnsi"/>
          <w:b/>
          <w:sz w:val="20"/>
          <w:szCs w:val="20"/>
        </w:rPr>
      </w:pPr>
      <w:r w:rsidRPr="003C1347">
        <w:rPr>
          <w:rFonts w:cstheme="minorHAnsi"/>
          <w:b/>
          <w:sz w:val="20"/>
          <w:szCs w:val="20"/>
        </w:rPr>
        <w:t>RESUELVE: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b/>
          <w:sz w:val="20"/>
          <w:szCs w:val="20"/>
        </w:rPr>
        <w:t>Artículo 1</w:t>
      </w:r>
      <w:r w:rsidR="00762DE9" w:rsidRPr="003C1347">
        <w:rPr>
          <w:rFonts w:cstheme="minorHAnsi"/>
          <w:b/>
          <w:sz w:val="20"/>
          <w:szCs w:val="20"/>
        </w:rPr>
        <w:t>°.</w:t>
      </w:r>
      <w:r w:rsidRPr="003C1347">
        <w:rPr>
          <w:rFonts w:cstheme="minorHAnsi"/>
          <w:b/>
          <w:sz w:val="20"/>
          <w:szCs w:val="20"/>
        </w:rPr>
        <w:t xml:space="preserve"> </w:t>
      </w:r>
      <w:r w:rsidR="003C1347" w:rsidRPr="003C1347">
        <w:rPr>
          <w:rFonts w:cstheme="minorHAnsi"/>
          <w:b/>
          <w:sz w:val="20"/>
          <w:szCs w:val="20"/>
        </w:rPr>
        <w:t xml:space="preserve">ADÓPTESE </w:t>
      </w:r>
      <w:r w:rsidR="003C1347" w:rsidRPr="003C1347">
        <w:rPr>
          <w:rFonts w:cstheme="minorHAnsi"/>
          <w:sz w:val="20"/>
          <w:szCs w:val="20"/>
        </w:rPr>
        <w:t>la</w:t>
      </w:r>
      <w:r w:rsidR="00FE213C">
        <w:rPr>
          <w:rFonts w:cstheme="minorHAnsi"/>
          <w:sz w:val="20"/>
          <w:szCs w:val="20"/>
        </w:rPr>
        <w:t xml:space="preserve"> P</w:t>
      </w:r>
      <w:r w:rsidRPr="003C1347">
        <w:rPr>
          <w:rFonts w:cstheme="minorHAnsi"/>
          <w:sz w:val="20"/>
          <w:szCs w:val="20"/>
        </w:rPr>
        <w:t xml:space="preserve">olítica de prevención de </w:t>
      </w:r>
      <w:r w:rsidR="00071DDC" w:rsidRPr="003C1347">
        <w:rPr>
          <w:rFonts w:cstheme="minorHAnsi"/>
          <w:color w:val="000000"/>
          <w:sz w:val="20"/>
          <w:szCs w:val="20"/>
          <w:shd w:val="clear" w:color="auto" w:fill="FFFFFF"/>
        </w:rPr>
        <w:t>consumo</w:t>
      </w:r>
      <w:r w:rsidR="00071DDC" w:rsidRPr="003C1347">
        <w:rPr>
          <w:rFonts w:cstheme="minorHAnsi"/>
          <w:sz w:val="20"/>
          <w:szCs w:val="20"/>
        </w:rPr>
        <w:t xml:space="preserve"> </w:t>
      </w:r>
      <w:r w:rsidR="00071DDC">
        <w:rPr>
          <w:rFonts w:cstheme="minorHAnsi"/>
          <w:sz w:val="20"/>
          <w:szCs w:val="20"/>
        </w:rPr>
        <w:t xml:space="preserve">de </w:t>
      </w:r>
      <w:r w:rsidRPr="003C1347">
        <w:rPr>
          <w:rFonts w:cstheme="minorHAnsi"/>
          <w:sz w:val="20"/>
          <w:szCs w:val="20"/>
        </w:rPr>
        <w:t>alcohol, tabaco y drogas, en el Instituto de Hidrología, Meteorología y Estudios Ambientales</w:t>
      </w:r>
      <w:r w:rsidR="00FE213C">
        <w:rPr>
          <w:rFonts w:cstheme="minorHAnsi"/>
          <w:sz w:val="20"/>
          <w:szCs w:val="20"/>
        </w:rPr>
        <w:t xml:space="preserve"> - IDEAM</w:t>
      </w:r>
      <w:r w:rsidRPr="003C1347">
        <w:rPr>
          <w:rFonts w:cstheme="minorHAnsi"/>
          <w:sz w:val="20"/>
          <w:szCs w:val="20"/>
        </w:rPr>
        <w:t>, la cual tiene como objetivo principal prevenir, mejorar y buscar el bienestar y la salud de todos sus funcionarios, contratistas y partes interesadas.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El Instituto conoce que el tabaquismo, el consumo de drogas ilícitas (psicotrópicas) y el alcoholismo producen efectos adversos en la salud y la seguridad, interfieren en la eficiencia de las labores diarias y disminuyen la productividad y desempeño de los funcionarios, contratistas y partes interesadas.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Por lo que, se adoptan los siguientes parámetros, para garantizar el cumplimiento de la política:</w:t>
      </w:r>
    </w:p>
    <w:p w:rsidR="009F56F2" w:rsidRPr="003C1347" w:rsidRDefault="009F56F2" w:rsidP="009F56F2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Asegurar que no se perjudique la habilidad de los empleados para llevar a cabo las tareas asignadas de forma segura, productiva y saludable;</w:t>
      </w:r>
    </w:p>
    <w:p w:rsidR="009F56F2" w:rsidRPr="003C1347" w:rsidRDefault="009F56F2" w:rsidP="009F56F2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Crear un lugar de trabajo libre de los efectos adversos de abuso de drogas y alcohol, esto incluye los vehículos propios o contratados para actividades laborales del Instituto.</w:t>
      </w:r>
    </w:p>
    <w:p w:rsidR="009F56F2" w:rsidRPr="003C1347" w:rsidRDefault="009F56F2" w:rsidP="009F56F2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sz w:val="20"/>
          <w:szCs w:val="20"/>
        </w:rPr>
        <w:t>Prohibir la posesión de drogas, para su consumo en el lugar de trabajo.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b/>
          <w:sz w:val="20"/>
          <w:szCs w:val="20"/>
        </w:rPr>
        <w:t>Artículo 2</w:t>
      </w:r>
      <w:r w:rsidR="00762DE9" w:rsidRPr="003C1347">
        <w:rPr>
          <w:rFonts w:cstheme="minorHAnsi"/>
          <w:b/>
          <w:sz w:val="20"/>
          <w:szCs w:val="20"/>
        </w:rPr>
        <w:t>°.</w:t>
      </w:r>
      <w:r w:rsidRPr="003C1347">
        <w:rPr>
          <w:rFonts w:cstheme="minorHAnsi"/>
          <w:sz w:val="20"/>
          <w:szCs w:val="20"/>
        </w:rPr>
        <w:t xml:space="preserve"> Se encuentra prohibido fumar en el interior de las instalaciones del IDEAM, así como en el interior de los vehículos propios o contratados para actividades laborales del Instituto. (Resolución No. 1956 de 2008 Ministerio de Protección social)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b/>
          <w:sz w:val="20"/>
          <w:szCs w:val="20"/>
        </w:rPr>
        <w:t>Artículo 3</w:t>
      </w:r>
      <w:r w:rsidR="00762DE9" w:rsidRPr="003C1347">
        <w:rPr>
          <w:rFonts w:cstheme="minorHAnsi"/>
          <w:b/>
          <w:sz w:val="20"/>
          <w:szCs w:val="20"/>
        </w:rPr>
        <w:t>°</w:t>
      </w:r>
      <w:r w:rsidRPr="003C1347">
        <w:rPr>
          <w:rFonts w:cstheme="minorHAnsi"/>
          <w:sz w:val="20"/>
          <w:szCs w:val="20"/>
        </w:rPr>
        <w:t xml:space="preserve">. Se encuentra prohibido el consumo, distribución, venta e ingreso de bebidas alcohólicas en las instalaciones del IDEAM (sede principal, aeropuertos, almacén, áreas operativas, laboratorio de calidad ambiental), durante la jornada de trabajo, en representación del Instituto, comisión y demás que se presenten. 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b/>
          <w:sz w:val="20"/>
          <w:szCs w:val="20"/>
        </w:rPr>
        <w:t>Artículo 4</w:t>
      </w:r>
      <w:r w:rsidR="00762DE9" w:rsidRPr="003C1347">
        <w:rPr>
          <w:rFonts w:cstheme="minorHAnsi"/>
          <w:b/>
          <w:sz w:val="20"/>
          <w:szCs w:val="20"/>
        </w:rPr>
        <w:t>°</w:t>
      </w:r>
      <w:r w:rsidRPr="003C1347">
        <w:rPr>
          <w:rFonts w:cstheme="minorHAnsi"/>
          <w:b/>
          <w:sz w:val="20"/>
          <w:szCs w:val="20"/>
        </w:rPr>
        <w:t xml:space="preserve">. </w:t>
      </w:r>
      <w:r w:rsidRPr="003C1347">
        <w:rPr>
          <w:rFonts w:cstheme="minorHAnsi"/>
          <w:sz w:val="20"/>
          <w:szCs w:val="20"/>
        </w:rPr>
        <w:t>De la misma manera, se encuentra prohibido el consumo, distribución y venta de drogas ilícitas dentro de las instalaciones del IDEAM (sede principal, aeropuertos, almacén, áreas operativas, laboratorio de calidad ambiental), durante la jornada de trabajo en representación del Instituto, comisión y demás que se presenten.</w:t>
      </w:r>
    </w:p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  <w:r w:rsidRPr="003C1347">
        <w:rPr>
          <w:rFonts w:cstheme="minorHAnsi"/>
          <w:b/>
          <w:sz w:val="20"/>
          <w:szCs w:val="20"/>
        </w:rPr>
        <w:t>Artículo 5</w:t>
      </w:r>
      <w:r w:rsidR="00762DE9" w:rsidRPr="003C1347">
        <w:rPr>
          <w:rFonts w:cstheme="minorHAnsi"/>
          <w:b/>
          <w:sz w:val="20"/>
          <w:szCs w:val="20"/>
        </w:rPr>
        <w:t>°</w:t>
      </w:r>
      <w:r w:rsidRPr="003C1347">
        <w:rPr>
          <w:rFonts w:cstheme="minorHAnsi"/>
          <w:b/>
          <w:sz w:val="20"/>
          <w:szCs w:val="20"/>
        </w:rPr>
        <w:t xml:space="preserve">. </w:t>
      </w:r>
      <w:r w:rsidRPr="003C1347">
        <w:rPr>
          <w:rFonts w:cstheme="minorHAnsi"/>
          <w:sz w:val="20"/>
          <w:szCs w:val="20"/>
        </w:rPr>
        <w:t xml:space="preserve">La política aprobada en </w:t>
      </w:r>
      <w:r w:rsidR="003C1347">
        <w:rPr>
          <w:rFonts w:cstheme="minorHAnsi"/>
          <w:sz w:val="20"/>
          <w:szCs w:val="20"/>
        </w:rPr>
        <w:t xml:space="preserve">la </w:t>
      </w:r>
      <w:r w:rsidRPr="003C1347">
        <w:rPr>
          <w:rFonts w:cstheme="minorHAnsi"/>
          <w:sz w:val="20"/>
          <w:szCs w:val="20"/>
        </w:rPr>
        <w:t xml:space="preserve">presente </w:t>
      </w:r>
      <w:r w:rsidR="003C1347">
        <w:rPr>
          <w:rFonts w:cstheme="minorHAnsi"/>
          <w:sz w:val="20"/>
          <w:szCs w:val="20"/>
        </w:rPr>
        <w:t>resolución</w:t>
      </w:r>
      <w:r w:rsidRPr="003C1347">
        <w:rPr>
          <w:rFonts w:cstheme="minorHAnsi"/>
          <w:sz w:val="20"/>
          <w:szCs w:val="20"/>
        </w:rPr>
        <w:t xml:space="preserve"> debe ser de obligatorio cumplimiento por parte los empleados públicos, y contratistas del Instituto de Hidrología, Meteorología y Estudios Ambientales - IDEAM.</w:t>
      </w:r>
    </w:p>
    <w:p w:rsidR="009F56F2" w:rsidRPr="003C1347" w:rsidRDefault="009F56F2" w:rsidP="009F56F2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3C1347">
        <w:rPr>
          <w:rFonts w:cstheme="minorHAnsi"/>
          <w:b/>
          <w:sz w:val="20"/>
          <w:szCs w:val="20"/>
        </w:rPr>
        <w:t>Artículo 6</w:t>
      </w:r>
      <w:r w:rsidR="00762DE9" w:rsidRPr="003C1347">
        <w:rPr>
          <w:rFonts w:cstheme="minorHAnsi"/>
          <w:b/>
          <w:sz w:val="20"/>
          <w:szCs w:val="20"/>
        </w:rPr>
        <w:t>°</w:t>
      </w:r>
      <w:r w:rsidRPr="003C1347">
        <w:rPr>
          <w:rFonts w:cstheme="minorHAnsi"/>
          <w:b/>
          <w:sz w:val="20"/>
          <w:szCs w:val="20"/>
        </w:rPr>
        <w:t xml:space="preserve">. </w:t>
      </w:r>
      <w:r w:rsidRPr="003C1347">
        <w:rPr>
          <w:rFonts w:cstheme="minorHAnsi"/>
          <w:sz w:val="20"/>
          <w:szCs w:val="20"/>
        </w:rPr>
        <w:t>El Instituto se compromete al cumplimiento de esta Política en todas sus áreas y a garantizar su aplicación donde exista personal del IDEAM, esta política será publicada y divulgada a todos los funcionarios, contratistas y partes interesadas</w:t>
      </w:r>
      <w:r w:rsidR="00762DE9" w:rsidRPr="003C1347">
        <w:rPr>
          <w:rFonts w:cstheme="minorHAnsi"/>
          <w:sz w:val="20"/>
          <w:szCs w:val="20"/>
        </w:rPr>
        <w:t>, de conformidad con el artículo 65 de la Ley 1437 de 2011</w:t>
      </w:r>
      <w:r w:rsidRPr="003C1347">
        <w:rPr>
          <w:rFonts w:cstheme="minorHAnsi"/>
          <w:sz w:val="20"/>
          <w:szCs w:val="20"/>
        </w:rPr>
        <w:t>.</w:t>
      </w:r>
    </w:p>
    <w:p w:rsidR="009F56F2" w:rsidRPr="003C1347" w:rsidRDefault="00DE7F49" w:rsidP="00DE7F49">
      <w:pPr>
        <w:jc w:val="center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  <w:proofErr w:type="spellStart"/>
      <w:r w:rsidRPr="003C1347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COMUNIQUESE</w:t>
      </w:r>
      <w:proofErr w:type="spellEnd"/>
      <w:r w:rsidRPr="003C1347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 xml:space="preserve"> Y </w:t>
      </w:r>
      <w:proofErr w:type="spellStart"/>
      <w:r w:rsidRPr="003C1347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CUMPLASE</w:t>
      </w:r>
      <w:proofErr w:type="spellEnd"/>
      <w:r w:rsidRPr="003C1347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.</w:t>
      </w:r>
    </w:p>
    <w:p w:rsidR="00DE7F49" w:rsidRPr="003C1347" w:rsidRDefault="00DE7F49" w:rsidP="00DE7F49">
      <w:pPr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9F56F2" w:rsidRPr="003C1347" w:rsidRDefault="009F56F2" w:rsidP="009F56F2">
      <w:pPr>
        <w:jc w:val="center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9F56F2" w:rsidRPr="003C1347" w:rsidRDefault="009F56F2" w:rsidP="009F56F2">
      <w:pPr>
        <w:jc w:val="center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9F56F2" w:rsidRPr="003C1347" w:rsidRDefault="009F56F2" w:rsidP="009F56F2">
      <w:pPr>
        <w:jc w:val="center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  <w:r w:rsidRPr="003C1347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Dr. OMAR FRANCO TORRES</w:t>
      </w:r>
    </w:p>
    <w:p w:rsidR="009F56F2" w:rsidRPr="003C1347" w:rsidRDefault="009F56F2" w:rsidP="009F56F2">
      <w:pPr>
        <w:jc w:val="center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3C1347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Director General</w:t>
      </w:r>
    </w:p>
    <w:p w:rsidR="009F56F2" w:rsidRPr="003C1347" w:rsidRDefault="009F56F2" w:rsidP="009F56F2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9F56F2" w:rsidRPr="003C1347" w:rsidRDefault="009F56F2" w:rsidP="009F56F2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94"/>
        <w:gridCol w:w="2207"/>
        <w:gridCol w:w="2207"/>
        <w:gridCol w:w="2207"/>
      </w:tblGrid>
      <w:tr w:rsidR="009F56F2" w:rsidRPr="003C1347" w:rsidTr="00FF7701">
        <w:trPr>
          <w:trHeight w:val="302"/>
        </w:trPr>
        <w:tc>
          <w:tcPr>
            <w:tcW w:w="2207" w:type="dxa"/>
            <w:gridSpan w:val="2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es-CO"/>
              </w:rPr>
              <w:t>Nombre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es-CO"/>
              </w:rPr>
              <w:t>Cargo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es-CO"/>
              </w:rPr>
              <w:t>Firma</w:t>
            </w:r>
          </w:p>
        </w:tc>
      </w:tr>
      <w:tr w:rsidR="009F56F2" w:rsidRPr="003C1347" w:rsidTr="00FF7701">
        <w:tc>
          <w:tcPr>
            <w:tcW w:w="2207" w:type="dxa"/>
            <w:gridSpan w:val="2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Proyectó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Marcela Millán Prada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Contratista Oficina Asesora de Planeación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</w:p>
        </w:tc>
      </w:tr>
      <w:tr w:rsidR="009F56F2" w:rsidRPr="003C1347" w:rsidTr="00FF7701">
        <w:tc>
          <w:tcPr>
            <w:tcW w:w="2207" w:type="dxa"/>
            <w:gridSpan w:val="2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Revisó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Juan Carlos Lobo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Jefe oficina asesora de planeación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</w:p>
        </w:tc>
      </w:tr>
      <w:tr w:rsidR="009F56F2" w:rsidRPr="003C1347" w:rsidTr="00FF7701">
        <w:tc>
          <w:tcPr>
            <w:tcW w:w="2207" w:type="dxa"/>
            <w:gridSpan w:val="2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Revisó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 xml:space="preserve">Edna Magaly Lara 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Coordinadora Grupo de Administracion y Desarrollo del Talento Humano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</w:p>
        </w:tc>
      </w:tr>
      <w:tr w:rsidR="00C20EF5" w:rsidRPr="003C1347" w:rsidTr="00FF7701">
        <w:tc>
          <w:tcPr>
            <w:tcW w:w="2207" w:type="dxa"/>
            <w:gridSpan w:val="2"/>
            <w:vAlign w:val="center"/>
          </w:tcPr>
          <w:p w:rsidR="00C20EF5" w:rsidRPr="003C1347" w:rsidRDefault="009E1695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Revisó</w:t>
            </w:r>
            <w:bookmarkStart w:id="0" w:name="_GoBack"/>
            <w:bookmarkEnd w:id="0"/>
          </w:p>
        </w:tc>
        <w:tc>
          <w:tcPr>
            <w:tcW w:w="2207" w:type="dxa"/>
            <w:vAlign w:val="center"/>
          </w:tcPr>
          <w:p w:rsidR="00C20EF5" w:rsidRPr="003C1347" w:rsidRDefault="009E1695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Amanda Tovar</w:t>
            </w:r>
          </w:p>
        </w:tc>
        <w:tc>
          <w:tcPr>
            <w:tcW w:w="2207" w:type="dxa"/>
            <w:vAlign w:val="center"/>
          </w:tcPr>
          <w:p w:rsidR="00C20EF5" w:rsidRPr="003C1347" w:rsidRDefault="009E1695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Contratista Oficina Asesora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 xml:space="preserve"> Juridica</w:t>
            </w:r>
          </w:p>
        </w:tc>
        <w:tc>
          <w:tcPr>
            <w:tcW w:w="2207" w:type="dxa"/>
            <w:vAlign w:val="center"/>
          </w:tcPr>
          <w:p w:rsidR="00C20EF5" w:rsidRPr="003C1347" w:rsidRDefault="00C20EF5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</w:p>
        </w:tc>
      </w:tr>
      <w:tr w:rsidR="009F56F2" w:rsidRPr="003C1347" w:rsidTr="00FF7701">
        <w:trPr>
          <w:trHeight w:val="410"/>
        </w:trPr>
        <w:tc>
          <w:tcPr>
            <w:tcW w:w="2207" w:type="dxa"/>
            <w:gridSpan w:val="2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lastRenderedPageBreak/>
              <w:t>Revisó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Gilberto Ramos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Jefe Oficina Asesora Juridica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</w:p>
        </w:tc>
      </w:tr>
      <w:tr w:rsidR="009F56F2" w:rsidRPr="003C1347" w:rsidTr="00FF7701">
        <w:trPr>
          <w:trHeight w:val="416"/>
        </w:trPr>
        <w:tc>
          <w:tcPr>
            <w:tcW w:w="2207" w:type="dxa"/>
            <w:gridSpan w:val="2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Aprobó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Adriana Yazmin  Portillo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Secretaria General</w:t>
            </w:r>
          </w:p>
        </w:tc>
        <w:tc>
          <w:tcPr>
            <w:tcW w:w="2207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</w:p>
        </w:tc>
      </w:tr>
      <w:tr w:rsidR="009F56F2" w:rsidRPr="003C1347" w:rsidTr="00FF7701">
        <w:trPr>
          <w:trHeight w:val="416"/>
        </w:trPr>
        <w:tc>
          <w:tcPr>
            <w:tcW w:w="1413" w:type="dxa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 xml:space="preserve">Rad. Orfeo: </w:t>
            </w:r>
          </w:p>
        </w:tc>
        <w:tc>
          <w:tcPr>
            <w:tcW w:w="7415" w:type="dxa"/>
            <w:gridSpan w:val="4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20171010000593</w:t>
            </w:r>
          </w:p>
        </w:tc>
      </w:tr>
      <w:tr w:rsidR="009F56F2" w:rsidRPr="003C1347" w:rsidTr="00FF7701">
        <w:trPr>
          <w:trHeight w:val="416"/>
        </w:trPr>
        <w:tc>
          <w:tcPr>
            <w:tcW w:w="8828" w:type="dxa"/>
            <w:gridSpan w:val="5"/>
            <w:vAlign w:val="center"/>
          </w:tcPr>
          <w:p w:rsidR="009F56F2" w:rsidRPr="003C1347" w:rsidRDefault="009F56F2" w:rsidP="00FE213C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</w:pPr>
            <w:r w:rsidRPr="003C1347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es-CO"/>
              </w:rPr>
              <w:t>Los arriba firmantes declaramos que hemos revisado el presente documento y lo encontramos ajustado a las normas y disposiciones legales y/o técnicas vigentes y por lo tanto bajo nuestra responsabilidad lo presentamos para la firma del Director General del IDEAM.</w:t>
            </w:r>
          </w:p>
        </w:tc>
      </w:tr>
    </w:tbl>
    <w:p w:rsidR="009F56F2" w:rsidRPr="003C1347" w:rsidRDefault="009F56F2" w:rsidP="009F56F2">
      <w:pPr>
        <w:jc w:val="both"/>
        <w:rPr>
          <w:rFonts w:cstheme="minorHAnsi"/>
          <w:sz w:val="20"/>
          <w:szCs w:val="20"/>
        </w:rPr>
      </w:pPr>
    </w:p>
    <w:p w:rsidR="003E6582" w:rsidRPr="003C1347" w:rsidRDefault="003E6582">
      <w:pPr>
        <w:rPr>
          <w:rFonts w:cstheme="minorHAnsi"/>
          <w:sz w:val="20"/>
          <w:szCs w:val="20"/>
        </w:rPr>
      </w:pPr>
    </w:p>
    <w:sectPr w:rsidR="003E6582" w:rsidRPr="003C1347" w:rsidSect="00E047E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2B" w:rsidRDefault="00D6332B" w:rsidP="009F56F2">
      <w:pPr>
        <w:spacing w:after="0" w:line="240" w:lineRule="auto"/>
      </w:pPr>
      <w:r>
        <w:separator/>
      </w:r>
    </w:p>
  </w:endnote>
  <w:endnote w:type="continuationSeparator" w:id="0">
    <w:p w:rsidR="00D6332B" w:rsidRDefault="00D6332B" w:rsidP="009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2B" w:rsidRDefault="00D6332B" w:rsidP="009F56F2">
      <w:pPr>
        <w:spacing w:after="0" w:line="240" w:lineRule="auto"/>
      </w:pPr>
      <w:r>
        <w:separator/>
      </w:r>
    </w:p>
  </w:footnote>
  <w:footnote w:type="continuationSeparator" w:id="0">
    <w:p w:rsidR="00D6332B" w:rsidRDefault="00D6332B" w:rsidP="009F56F2">
      <w:pPr>
        <w:spacing w:after="0" w:line="240" w:lineRule="auto"/>
      </w:pPr>
      <w:r>
        <w:continuationSeparator/>
      </w:r>
    </w:p>
  </w:footnote>
  <w:footnote w:id="1">
    <w:p w:rsidR="009F56F2" w:rsidRPr="00DE7F49" w:rsidRDefault="009F56F2" w:rsidP="00DE7F49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CO"/>
        </w:rPr>
      </w:pPr>
      <w:r w:rsidRPr="00DE7F4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DE7F49">
        <w:rPr>
          <w:rFonts w:ascii="Times New Roman" w:hAnsi="Times New Roman" w:cs="Times New Roman"/>
          <w:sz w:val="18"/>
          <w:szCs w:val="18"/>
        </w:rPr>
        <w:t xml:space="preserve"> </w:t>
      </w:r>
      <w:r w:rsidRPr="003C1347">
        <w:rPr>
          <w:rFonts w:cstheme="minorHAnsi"/>
          <w:sz w:val="16"/>
          <w:szCs w:val="16"/>
        </w:rPr>
        <w:t xml:space="preserve">COLOMBIA, PRESIDENCIA DE LA REPUBLICA 1994. Decreto 1295 del 24 de </w:t>
      </w:r>
      <w:proofErr w:type="gramStart"/>
      <w:r w:rsidRPr="003C1347">
        <w:rPr>
          <w:rFonts w:cstheme="minorHAnsi"/>
          <w:sz w:val="16"/>
          <w:szCs w:val="16"/>
        </w:rPr>
        <w:t>Junio</w:t>
      </w:r>
      <w:proofErr w:type="gramEnd"/>
      <w:r w:rsidRPr="003C1347">
        <w:rPr>
          <w:rFonts w:cstheme="minorHAnsi"/>
          <w:sz w:val="16"/>
          <w:szCs w:val="16"/>
        </w:rPr>
        <w:t xml:space="preserve"> de 1994, por el cual se determina la organización y administración del Sistema General de Riesgos Profesionales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02220"/>
    <w:multiLevelType w:val="hybridMultilevel"/>
    <w:tmpl w:val="97A88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2"/>
    <w:rsid w:val="00036620"/>
    <w:rsid w:val="00071DDC"/>
    <w:rsid w:val="001C7A26"/>
    <w:rsid w:val="00257517"/>
    <w:rsid w:val="002C6E48"/>
    <w:rsid w:val="002F4557"/>
    <w:rsid w:val="003C1347"/>
    <w:rsid w:val="003E6582"/>
    <w:rsid w:val="00587E5F"/>
    <w:rsid w:val="00762DE9"/>
    <w:rsid w:val="009167C8"/>
    <w:rsid w:val="0094117A"/>
    <w:rsid w:val="009E1695"/>
    <w:rsid w:val="009F56F2"/>
    <w:rsid w:val="00BC47D4"/>
    <w:rsid w:val="00C20EF5"/>
    <w:rsid w:val="00CC492B"/>
    <w:rsid w:val="00CE65A8"/>
    <w:rsid w:val="00D6332B"/>
    <w:rsid w:val="00DE7F49"/>
    <w:rsid w:val="00E047E7"/>
    <w:rsid w:val="00E740C8"/>
    <w:rsid w:val="00EB71CA"/>
    <w:rsid w:val="00FC7301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D470"/>
  <w15:docId w15:val="{3DEE9BD4-7916-4F00-9470-61C1358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F2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6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56F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56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6F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5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Tovar Tejada</dc:creator>
  <cp:lastModifiedBy>PMO IDEAM</cp:lastModifiedBy>
  <cp:revision>9</cp:revision>
  <dcterms:created xsi:type="dcterms:W3CDTF">2017-06-07T21:01:00Z</dcterms:created>
  <dcterms:modified xsi:type="dcterms:W3CDTF">2017-07-04T16:15:00Z</dcterms:modified>
</cp:coreProperties>
</file>