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B5" w:rsidRDefault="006D1CC2"/>
    <w:p w:rsidR="00305266" w:rsidRDefault="00305266">
      <w:pPr>
        <w:spacing w:after="160" w:line="259" w:lineRule="auto"/>
      </w:pPr>
    </w:p>
    <w:p w:rsidR="00533C5E" w:rsidRPr="00D63E42" w:rsidRDefault="00533C5E" w:rsidP="00533C5E">
      <w:pPr>
        <w:rPr>
          <w:rFonts w:cstheme="minorHAnsi"/>
          <w:sz w:val="20"/>
          <w:szCs w:val="20"/>
        </w:rPr>
      </w:pPr>
    </w:p>
    <w:p w:rsidR="00533C5E" w:rsidRPr="00D63E42" w:rsidRDefault="00533C5E" w:rsidP="00533C5E">
      <w:pPr>
        <w:jc w:val="center"/>
        <w:rPr>
          <w:rFonts w:cstheme="minorHAnsi"/>
          <w:sz w:val="20"/>
          <w:szCs w:val="20"/>
        </w:rPr>
      </w:pPr>
      <w:r w:rsidRPr="00D63E42">
        <w:rPr>
          <w:rFonts w:cstheme="minorHAnsi"/>
          <w:noProof/>
          <w:sz w:val="20"/>
          <w:szCs w:val="20"/>
          <w:lang w:eastAsia="es-CO"/>
        </w:rPr>
        <w:drawing>
          <wp:inline distT="0" distB="0" distL="0" distR="0" wp14:anchorId="71521033" wp14:editId="744475ED">
            <wp:extent cx="1506099" cy="1447138"/>
            <wp:effectExtent l="0" t="0" r="0" b="1270"/>
            <wp:docPr id="1" name="Imagen 1" descr="Logo IDEAM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DEAM 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6184" cy="1447220"/>
                    </a:xfrm>
                    <a:prstGeom prst="rect">
                      <a:avLst/>
                    </a:prstGeom>
                    <a:noFill/>
                    <a:ln>
                      <a:noFill/>
                    </a:ln>
                  </pic:spPr>
                </pic:pic>
              </a:graphicData>
            </a:graphic>
          </wp:inline>
        </w:drawing>
      </w:r>
    </w:p>
    <w:p w:rsidR="00533C5E" w:rsidRPr="00D63E42" w:rsidRDefault="00533C5E" w:rsidP="00533C5E">
      <w:pPr>
        <w:jc w:val="center"/>
        <w:rPr>
          <w:rFonts w:cstheme="minorHAnsi"/>
          <w:b/>
          <w:sz w:val="20"/>
          <w:szCs w:val="20"/>
        </w:rPr>
      </w:pPr>
    </w:p>
    <w:p w:rsidR="00533C5E" w:rsidRPr="00D63E42" w:rsidRDefault="00533C5E" w:rsidP="00533C5E">
      <w:pPr>
        <w:jc w:val="center"/>
        <w:rPr>
          <w:rFonts w:cstheme="minorHAnsi"/>
          <w:b/>
          <w:sz w:val="20"/>
          <w:szCs w:val="20"/>
        </w:rPr>
      </w:pPr>
    </w:p>
    <w:p w:rsidR="00533C5E" w:rsidRPr="00D63E42" w:rsidRDefault="00533C5E" w:rsidP="00533C5E">
      <w:pPr>
        <w:jc w:val="center"/>
        <w:rPr>
          <w:rFonts w:cstheme="minorHAnsi"/>
          <w:b/>
          <w:sz w:val="20"/>
          <w:szCs w:val="20"/>
        </w:rPr>
      </w:pPr>
    </w:p>
    <w:p w:rsidR="00533C5E" w:rsidRPr="00D63E42" w:rsidRDefault="00533C5E" w:rsidP="00A65A99">
      <w:pPr>
        <w:spacing w:line="240" w:lineRule="auto"/>
        <w:jc w:val="center"/>
        <w:rPr>
          <w:rFonts w:cstheme="minorHAnsi"/>
          <w:b/>
          <w:sz w:val="36"/>
          <w:szCs w:val="20"/>
        </w:rPr>
      </w:pPr>
      <w:r w:rsidRPr="00D63E42">
        <w:rPr>
          <w:rFonts w:cstheme="minorHAnsi"/>
          <w:b/>
          <w:sz w:val="36"/>
          <w:szCs w:val="20"/>
        </w:rPr>
        <w:t>Instituto de Hidrología, Meteorología y Estudios Ambientales</w:t>
      </w:r>
    </w:p>
    <w:p w:rsidR="00533C5E" w:rsidRPr="00D63E42" w:rsidRDefault="00533C5E" w:rsidP="00A65A99">
      <w:pPr>
        <w:spacing w:line="240" w:lineRule="auto"/>
        <w:jc w:val="center"/>
        <w:rPr>
          <w:rFonts w:cstheme="minorHAnsi"/>
          <w:sz w:val="36"/>
          <w:szCs w:val="20"/>
        </w:rPr>
      </w:pPr>
      <w:r w:rsidRPr="00D63E42">
        <w:rPr>
          <w:rFonts w:cstheme="minorHAnsi"/>
          <w:sz w:val="36"/>
          <w:szCs w:val="20"/>
        </w:rPr>
        <w:t>Ministerio de Ambiente y Desarrollo Sostenible</w:t>
      </w:r>
    </w:p>
    <w:p w:rsidR="00533C5E" w:rsidRPr="00D63E42" w:rsidRDefault="00533C5E" w:rsidP="00A65A99">
      <w:pPr>
        <w:spacing w:line="240" w:lineRule="auto"/>
        <w:jc w:val="center"/>
        <w:rPr>
          <w:rFonts w:cstheme="minorHAnsi"/>
          <w:sz w:val="36"/>
          <w:szCs w:val="20"/>
        </w:rPr>
      </w:pPr>
      <w:r w:rsidRPr="00D63E42">
        <w:rPr>
          <w:rFonts w:cstheme="minorHAnsi"/>
          <w:sz w:val="36"/>
          <w:szCs w:val="20"/>
        </w:rPr>
        <w:t>República de Colombia</w:t>
      </w:r>
    </w:p>
    <w:p w:rsidR="00533C5E" w:rsidRPr="00D63E42" w:rsidRDefault="00533C5E" w:rsidP="00533C5E">
      <w:pPr>
        <w:jc w:val="center"/>
        <w:rPr>
          <w:rFonts w:cstheme="minorHAnsi"/>
          <w:sz w:val="20"/>
          <w:szCs w:val="20"/>
        </w:rPr>
      </w:pPr>
    </w:p>
    <w:p w:rsidR="00533C5E" w:rsidRPr="00D63E42" w:rsidRDefault="00533C5E" w:rsidP="00533C5E">
      <w:pPr>
        <w:jc w:val="center"/>
        <w:rPr>
          <w:rFonts w:cstheme="minorHAnsi"/>
          <w:sz w:val="20"/>
          <w:szCs w:val="20"/>
        </w:rPr>
      </w:pPr>
    </w:p>
    <w:p w:rsidR="00533C5E" w:rsidRPr="00D63E42" w:rsidRDefault="00533C5E" w:rsidP="00533C5E">
      <w:pPr>
        <w:jc w:val="center"/>
        <w:rPr>
          <w:rFonts w:cstheme="minorHAnsi"/>
          <w:sz w:val="20"/>
          <w:szCs w:val="20"/>
        </w:rPr>
      </w:pPr>
    </w:p>
    <w:p w:rsidR="00533C5E" w:rsidRPr="00976F31" w:rsidRDefault="00533C5E" w:rsidP="00976F31">
      <w:pPr>
        <w:pBdr>
          <w:bottom w:val="single" w:sz="4" w:space="1" w:color="2E74B5" w:themeColor="accent1" w:themeShade="BF"/>
        </w:pBdr>
        <w:spacing w:line="240" w:lineRule="auto"/>
        <w:jc w:val="center"/>
        <w:rPr>
          <w:rFonts w:cstheme="minorHAnsi"/>
          <w:b/>
          <w:color w:val="2E74B5" w:themeColor="accent1" w:themeShade="BF"/>
          <w:sz w:val="28"/>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76F31">
        <w:rPr>
          <w:rFonts w:cstheme="minorHAnsi"/>
          <w:b/>
          <w:color w:val="2E74B5" w:themeColor="accent1" w:themeShade="BF"/>
          <w:sz w:val="28"/>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ANÁLISIS Y SEGUIMIENTO DEL PRESUPUESTO</w:t>
      </w:r>
    </w:p>
    <w:p w:rsidR="00533C5E" w:rsidRPr="00976F31" w:rsidRDefault="00533C5E" w:rsidP="00976F31">
      <w:pPr>
        <w:pBdr>
          <w:bottom w:val="single" w:sz="4" w:space="1" w:color="2E74B5" w:themeColor="accent1" w:themeShade="BF"/>
        </w:pBdr>
        <w:spacing w:line="240" w:lineRule="auto"/>
        <w:jc w:val="center"/>
        <w:rPr>
          <w:rFonts w:cstheme="minorHAnsi"/>
          <w:b/>
          <w:color w:val="2E74B5" w:themeColor="accent1" w:themeShade="BF"/>
          <w:sz w:val="28"/>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76F31">
        <w:rPr>
          <w:rFonts w:cstheme="minorHAnsi"/>
          <w:b/>
          <w:color w:val="2E74B5" w:themeColor="accent1" w:themeShade="BF"/>
          <w:sz w:val="28"/>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ENERO A MARZO – 2017</w:t>
      </w:r>
    </w:p>
    <w:p w:rsidR="00533C5E" w:rsidRDefault="00533C5E" w:rsidP="00533C5E">
      <w:pPr>
        <w:jc w:val="center"/>
        <w:rPr>
          <w:rFonts w:cstheme="minorHAnsi"/>
          <w:b/>
          <w:sz w:val="20"/>
          <w:szCs w:val="20"/>
        </w:rPr>
      </w:pPr>
    </w:p>
    <w:p w:rsidR="00A65A99" w:rsidRPr="00D63E42" w:rsidRDefault="00A65A99" w:rsidP="00533C5E">
      <w:pPr>
        <w:jc w:val="center"/>
        <w:rPr>
          <w:rFonts w:cstheme="minorHAnsi"/>
          <w:b/>
          <w:sz w:val="20"/>
          <w:szCs w:val="20"/>
        </w:rPr>
      </w:pPr>
    </w:p>
    <w:p w:rsidR="00533C5E" w:rsidRPr="00D63E42" w:rsidRDefault="00533C5E" w:rsidP="00A65A99">
      <w:pPr>
        <w:spacing w:line="240" w:lineRule="auto"/>
        <w:jc w:val="center"/>
        <w:rPr>
          <w:rFonts w:cstheme="minorHAnsi"/>
          <w:b/>
          <w:sz w:val="20"/>
          <w:szCs w:val="20"/>
        </w:rPr>
      </w:pPr>
      <w:r w:rsidRPr="00D63E42">
        <w:rPr>
          <w:rFonts w:cstheme="minorHAnsi"/>
          <w:b/>
          <w:sz w:val="20"/>
          <w:szCs w:val="20"/>
        </w:rPr>
        <w:t>OFICINA ASESORA DE PLANEACIÓN</w:t>
      </w:r>
    </w:p>
    <w:p w:rsidR="00533C5E" w:rsidRPr="00D63E42" w:rsidRDefault="00533C5E" w:rsidP="00A65A99">
      <w:pPr>
        <w:spacing w:line="240" w:lineRule="auto"/>
        <w:jc w:val="center"/>
        <w:rPr>
          <w:rFonts w:cstheme="minorHAnsi"/>
          <w:sz w:val="20"/>
          <w:szCs w:val="20"/>
        </w:rPr>
      </w:pPr>
    </w:p>
    <w:p w:rsidR="00533C5E" w:rsidRPr="00D63E42" w:rsidRDefault="00533C5E" w:rsidP="00A65A99">
      <w:pPr>
        <w:spacing w:line="240" w:lineRule="auto"/>
        <w:jc w:val="center"/>
        <w:rPr>
          <w:rFonts w:cstheme="minorHAnsi"/>
          <w:sz w:val="20"/>
          <w:szCs w:val="20"/>
        </w:rPr>
      </w:pPr>
      <w:r w:rsidRPr="00D63E42">
        <w:rPr>
          <w:rFonts w:cstheme="minorHAnsi"/>
          <w:sz w:val="20"/>
          <w:szCs w:val="20"/>
        </w:rPr>
        <w:t>www.ideam.gov.co</w:t>
      </w:r>
    </w:p>
    <w:p w:rsidR="00533C5E" w:rsidRPr="00D63E42" w:rsidRDefault="00533C5E" w:rsidP="00A65A99">
      <w:pPr>
        <w:spacing w:line="240" w:lineRule="auto"/>
        <w:rPr>
          <w:rFonts w:cstheme="minorHAnsi"/>
          <w:sz w:val="20"/>
          <w:szCs w:val="20"/>
        </w:rPr>
      </w:pPr>
    </w:p>
    <w:p w:rsidR="00533C5E" w:rsidRPr="00D63E42" w:rsidRDefault="00533C5E" w:rsidP="00A65A99">
      <w:pPr>
        <w:spacing w:line="240" w:lineRule="auto"/>
        <w:jc w:val="center"/>
        <w:rPr>
          <w:rFonts w:cstheme="minorHAnsi"/>
          <w:b/>
          <w:sz w:val="20"/>
          <w:szCs w:val="20"/>
        </w:rPr>
      </w:pPr>
      <w:r w:rsidRPr="00D63E42">
        <w:rPr>
          <w:rFonts w:cstheme="minorHAnsi"/>
          <w:b/>
          <w:sz w:val="20"/>
          <w:szCs w:val="20"/>
        </w:rPr>
        <w:t>Bogotá D.C., Colombia</w:t>
      </w:r>
    </w:p>
    <w:p w:rsidR="00533C5E" w:rsidRPr="00D63E42" w:rsidRDefault="00533C5E" w:rsidP="00533C5E">
      <w:pPr>
        <w:jc w:val="center"/>
        <w:rPr>
          <w:rFonts w:cstheme="minorHAnsi"/>
          <w:b/>
          <w:sz w:val="20"/>
          <w:szCs w:val="20"/>
        </w:rPr>
      </w:pPr>
    </w:p>
    <w:p w:rsidR="00056940" w:rsidRDefault="00056940">
      <w:pPr>
        <w:spacing w:after="160" w:line="259" w:lineRule="auto"/>
      </w:pPr>
    </w:p>
    <w:p w:rsidR="00533C5E" w:rsidRDefault="00533C5E">
      <w:pPr>
        <w:spacing w:after="160" w:line="259" w:lineRule="auto"/>
      </w:pPr>
    </w:p>
    <w:p w:rsidR="00533C5E" w:rsidRDefault="00533C5E">
      <w:pPr>
        <w:spacing w:after="160" w:line="259" w:lineRule="auto"/>
      </w:pPr>
    </w:p>
    <w:p w:rsidR="00305266" w:rsidRDefault="00305266">
      <w:pPr>
        <w:spacing w:after="160" w:line="259" w:lineRule="auto"/>
      </w:pPr>
    </w:p>
    <w:sdt>
      <w:sdtPr>
        <w:rPr>
          <w:rFonts w:asciiTheme="minorHAnsi" w:eastAsiaTheme="minorEastAsia" w:hAnsiTheme="minorHAnsi" w:cstheme="minorBidi"/>
          <w:color w:val="auto"/>
          <w:sz w:val="21"/>
          <w:szCs w:val="21"/>
          <w:lang w:val="es-ES"/>
        </w:rPr>
        <w:id w:val="2123561833"/>
        <w:docPartObj>
          <w:docPartGallery w:val="Table of Contents"/>
          <w:docPartUnique/>
        </w:docPartObj>
      </w:sdtPr>
      <w:sdtEndPr>
        <w:rPr>
          <w:b/>
          <w:bCs/>
          <w:lang w:val="es-CO"/>
        </w:rPr>
      </w:sdtEndPr>
      <w:sdtContent>
        <w:p w:rsidR="00305266" w:rsidRPr="00976F31" w:rsidRDefault="00305266" w:rsidP="00976F31">
          <w:pPr>
            <w:pStyle w:val="TtulodeTDC"/>
            <w:numPr>
              <w:ilvl w:val="0"/>
              <w:numId w:val="0"/>
            </w:numPr>
            <w:ind w:left="432" w:hanging="432"/>
            <w:rPr>
              <w:lang w:val="es-ES"/>
            </w:rPr>
          </w:pPr>
          <w:r w:rsidRPr="00976F31">
            <w:rPr>
              <w:lang w:val="es-ES"/>
            </w:rPr>
            <w:t>Tabla de contenido</w:t>
          </w:r>
        </w:p>
        <w:p w:rsidR="00831035" w:rsidRDefault="00831035" w:rsidP="00831035">
          <w:pPr>
            <w:rPr>
              <w:lang w:eastAsia="es-CO"/>
            </w:rPr>
          </w:pPr>
        </w:p>
        <w:p w:rsidR="00831035" w:rsidRPr="00831035" w:rsidRDefault="00831035" w:rsidP="00831035">
          <w:pPr>
            <w:rPr>
              <w:lang w:eastAsia="es-CO"/>
            </w:rPr>
          </w:pPr>
        </w:p>
        <w:p w:rsidR="00976F31" w:rsidRDefault="00305266">
          <w:pPr>
            <w:pStyle w:val="TDC1"/>
            <w:tabs>
              <w:tab w:val="left" w:pos="440"/>
              <w:tab w:val="right" w:leader="dot" w:pos="8828"/>
            </w:tabs>
            <w:rPr>
              <w:noProof/>
              <w:sz w:val="22"/>
              <w:szCs w:val="22"/>
              <w:lang w:eastAsia="es-CO"/>
            </w:rPr>
          </w:pPr>
          <w:r>
            <w:fldChar w:fldCharType="begin"/>
          </w:r>
          <w:r>
            <w:instrText xml:space="preserve"> TOC \o "1-3" \h \z \u </w:instrText>
          </w:r>
          <w:r>
            <w:fldChar w:fldCharType="separate"/>
          </w:r>
          <w:hyperlink w:anchor="_Toc482971091" w:history="1">
            <w:r w:rsidR="00976F31" w:rsidRPr="00185D7A">
              <w:rPr>
                <w:rStyle w:val="Hipervnculo"/>
                <w:noProof/>
              </w:rPr>
              <w:t>1</w:t>
            </w:r>
            <w:r w:rsidR="00976F31">
              <w:rPr>
                <w:noProof/>
                <w:sz w:val="22"/>
                <w:szCs w:val="22"/>
                <w:lang w:eastAsia="es-CO"/>
              </w:rPr>
              <w:tab/>
            </w:r>
            <w:r w:rsidR="00976F31" w:rsidRPr="00185D7A">
              <w:rPr>
                <w:rStyle w:val="Hipervnculo"/>
                <w:noProof/>
              </w:rPr>
              <w:t>Valores y porcentajes</w:t>
            </w:r>
            <w:r w:rsidR="00976F31">
              <w:rPr>
                <w:noProof/>
                <w:webHidden/>
              </w:rPr>
              <w:tab/>
            </w:r>
            <w:r w:rsidR="00976F31">
              <w:rPr>
                <w:noProof/>
                <w:webHidden/>
              </w:rPr>
              <w:fldChar w:fldCharType="begin"/>
            </w:r>
            <w:r w:rsidR="00976F31">
              <w:rPr>
                <w:noProof/>
                <w:webHidden/>
              </w:rPr>
              <w:instrText xml:space="preserve"> PAGEREF _Toc482971091 \h </w:instrText>
            </w:r>
            <w:r w:rsidR="00976F31">
              <w:rPr>
                <w:noProof/>
                <w:webHidden/>
              </w:rPr>
            </w:r>
            <w:r w:rsidR="00976F31">
              <w:rPr>
                <w:noProof/>
                <w:webHidden/>
              </w:rPr>
              <w:fldChar w:fldCharType="separate"/>
            </w:r>
            <w:r w:rsidR="00976F31">
              <w:rPr>
                <w:noProof/>
                <w:webHidden/>
              </w:rPr>
              <w:t>3</w:t>
            </w:r>
            <w:r w:rsidR="00976F31">
              <w:rPr>
                <w:noProof/>
                <w:webHidden/>
              </w:rPr>
              <w:fldChar w:fldCharType="end"/>
            </w:r>
          </w:hyperlink>
        </w:p>
        <w:p w:rsidR="00976F31" w:rsidRDefault="006D1CC2">
          <w:pPr>
            <w:pStyle w:val="TDC2"/>
            <w:tabs>
              <w:tab w:val="left" w:pos="880"/>
              <w:tab w:val="right" w:leader="dot" w:pos="8828"/>
            </w:tabs>
            <w:rPr>
              <w:noProof/>
              <w:sz w:val="22"/>
              <w:szCs w:val="22"/>
              <w:lang w:eastAsia="es-CO"/>
            </w:rPr>
          </w:pPr>
          <w:hyperlink w:anchor="_Toc482971092" w:history="1">
            <w:r w:rsidR="00976F31" w:rsidRPr="00185D7A">
              <w:rPr>
                <w:rStyle w:val="Hipervnculo"/>
                <w:noProof/>
              </w:rPr>
              <w:t>1.1</w:t>
            </w:r>
            <w:r w:rsidR="00976F31">
              <w:rPr>
                <w:noProof/>
                <w:sz w:val="22"/>
                <w:szCs w:val="22"/>
                <w:lang w:eastAsia="es-CO"/>
              </w:rPr>
              <w:tab/>
            </w:r>
            <w:r w:rsidR="00976F31" w:rsidRPr="00185D7A">
              <w:rPr>
                <w:rStyle w:val="Hipervnculo"/>
                <w:noProof/>
              </w:rPr>
              <w:t>Gastos de personal</w:t>
            </w:r>
            <w:r w:rsidR="00976F31">
              <w:rPr>
                <w:noProof/>
                <w:webHidden/>
              </w:rPr>
              <w:tab/>
            </w:r>
            <w:r w:rsidR="00976F31">
              <w:rPr>
                <w:noProof/>
                <w:webHidden/>
              </w:rPr>
              <w:fldChar w:fldCharType="begin"/>
            </w:r>
            <w:r w:rsidR="00976F31">
              <w:rPr>
                <w:noProof/>
                <w:webHidden/>
              </w:rPr>
              <w:instrText xml:space="preserve"> PAGEREF _Toc482971092 \h </w:instrText>
            </w:r>
            <w:r w:rsidR="00976F31">
              <w:rPr>
                <w:noProof/>
                <w:webHidden/>
              </w:rPr>
            </w:r>
            <w:r w:rsidR="00976F31">
              <w:rPr>
                <w:noProof/>
                <w:webHidden/>
              </w:rPr>
              <w:fldChar w:fldCharType="separate"/>
            </w:r>
            <w:r w:rsidR="00976F31">
              <w:rPr>
                <w:noProof/>
                <w:webHidden/>
              </w:rPr>
              <w:t>4</w:t>
            </w:r>
            <w:r w:rsidR="00976F31">
              <w:rPr>
                <w:noProof/>
                <w:webHidden/>
              </w:rPr>
              <w:fldChar w:fldCharType="end"/>
            </w:r>
          </w:hyperlink>
        </w:p>
        <w:p w:rsidR="00976F31" w:rsidRDefault="006D1CC2">
          <w:pPr>
            <w:pStyle w:val="TDC2"/>
            <w:tabs>
              <w:tab w:val="left" w:pos="880"/>
              <w:tab w:val="right" w:leader="dot" w:pos="8828"/>
            </w:tabs>
            <w:rPr>
              <w:noProof/>
              <w:sz w:val="22"/>
              <w:szCs w:val="22"/>
              <w:lang w:eastAsia="es-CO"/>
            </w:rPr>
          </w:pPr>
          <w:hyperlink w:anchor="_Toc482971093" w:history="1">
            <w:r w:rsidR="00976F31" w:rsidRPr="00185D7A">
              <w:rPr>
                <w:rStyle w:val="Hipervnculo"/>
                <w:noProof/>
              </w:rPr>
              <w:t>1.2</w:t>
            </w:r>
            <w:r w:rsidR="00976F31">
              <w:rPr>
                <w:noProof/>
                <w:sz w:val="22"/>
                <w:szCs w:val="22"/>
                <w:lang w:eastAsia="es-CO"/>
              </w:rPr>
              <w:tab/>
            </w:r>
            <w:r w:rsidR="00976F31" w:rsidRPr="00185D7A">
              <w:rPr>
                <w:rStyle w:val="Hipervnculo"/>
                <w:noProof/>
              </w:rPr>
              <w:t>Gastos Generales</w:t>
            </w:r>
            <w:r w:rsidR="00976F31">
              <w:rPr>
                <w:noProof/>
                <w:webHidden/>
              </w:rPr>
              <w:tab/>
            </w:r>
            <w:r w:rsidR="00976F31">
              <w:rPr>
                <w:noProof/>
                <w:webHidden/>
              </w:rPr>
              <w:fldChar w:fldCharType="begin"/>
            </w:r>
            <w:r w:rsidR="00976F31">
              <w:rPr>
                <w:noProof/>
                <w:webHidden/>
              </w:rPr>
              <w:instrText xml:space="preserve"> PAGEREF _Toc482971093 \h </w:instrText>
            </w:r>
            <w:r w:rsidR="00976F31">
              <w:rPr>
                <w:noProof/>
                <w:webHidden/>
              </w:rPr>
            </w:r>
            <w:r w:rsidR="00976F31">
              <w:rPr>
                <w:noProof/>
                <w:webHidden/>
              </w:rPr>
              <w:fldChar w:fldCharType="separate"/>
            </w:r>
            <w:r w:rsidR="00976F31">
              <w:rPr>
                <w:noProof/>
                <w:webHidden/>
              </w:rPr>
              <w:t>5</w:t>
            </w:r>
            <w:r w:rsidR="00976F31">
              <w:rPr>
                <w:noProof/>
                <w:webHidden/>
              </w:rPr>
              <w:fldChar w:fldCharType="end"/>
            </w:r>
          </w:hyperlink>
        </w:p>
        <w:p w:rsidR="00976F31" w:rsidRDefault="006D1CC2">
          <w:pPr>
            <w:pStyle w:val="TDC2"/>
            <w:tabs>
              <w:tab w:val="left" w:pos="880"/>
              <w:tab w:val="right" w:leader="dot" w:pos="8828"/>
            </w:tabs>
            <w:rPr>
              <w:noProof/>
              <w:sz w:val="22"/>
              <w:szCs w:val="22"/>
              <w:lang w:eastAsia="es-CO"/>
            </w:rPr>
          </w:pPr>
          <w:hyperlink w:anchor="_Toc482971094" w:history="1">
            <w:r w:rsidR="00976F31" w:rsidRPr="00185D7A">
              <w:rPr>
                <w:rStyle w:val="Hipervnculo"/>
                <w:noProof/>
              </w:rPr>
              <w:t>1.3</w:t>
            </w:r>
            <w:r w:rsidR="00976F31">
              <w:rPr>
                <w:noProof/>
                <w:sz w:val="22"/>
                <w:szCs w:val="22"/>
                <w:lang w:eastAsia="es-CO"/>
              </w:rPr>
              <w:tab/>
            </w:r>
            <w:r w:rsidR="00976F31" w:rsidRPr="00185D7A">
              <w:rPr>
                <w:rStyle w:val="Hipervnculo"/>
                <w:noProof/>
              </w:rPr>
              <w:t>Inversión</w:t>
            </w:r>
            <w:r w:rsidR="00976F31">
              <w:rPr>
                <w:noProof/>
                <w:webHidden/>
              </w:rPr>
              <w:tab/>
            </w:r>
            <w:r w:rsidR="00976F31">
              <w:rPr>
                <w:noProof/>
                <w:webHidden/>
              </w:rPr>
              <w:fldChar w:fldCharType="begin"/>
            </w:r>
            <w:r w:rsidR="00976F31">
              <w:rPr>
                <w:noProof/>
                <w:webHidden/>
              </w:rPr>
              <w:instrText xml:space="preserve"> PAGEREF _Toc482971094 \h </w:instrText>
            </w:r>
            <w:r w:rsidR="00976F31">
              <w:rPr>
                <w:noProof/>
                <w:webHidden/>
              </w:rPr>
            </w:r>
            <w:r w:rsidR="00976F31">
              <w:rPr>
                <w:noProof/>
                <w:webHidden/>
              </w:rPr>
              <w:fldChar w:fldCharType="separate"/>
            </w:r>
            <w:r w:rsidR="00976F31">
              <w:rPr>
                <w:noProof/>
                <w:webHidden/>
              </w:rPr>
              <w:t>6</w:t>
            </w:r>
            <w:r w:rsidR="00976F31">
              <w:rPr>
                <w:noProof/>
                <w:webHidden/>
              </w:rPr>
              <w:fldChar w:fldCharType="end"/>
            </w:r>
          </w:hyperlink>
        </w:p>
        <w:p w:rsidR="00976F31" w:rsidRDefault="006D1CC2">
          <w:pPr>
            <w:pStyle w:val="TDC1"/>
            <w:tabs>
              <w:tab w:val="left" w:pos="440"/>
              <w:tab w:val="right" w:leader="dot" w:pos="8828"/>
            </w:tabs>
            <w:rPr>
              <w:noProof/>
              <w:sz w:val="22"/>
              <w:szCs w:val="22"/>
              <w:lang w:eastAsia="es-CO"/>
            </w:rPr>
          </w:pPr>
          <w:hyperlink w:anchor="_Toc482971095" w:history="1">
            <w:r w:rsidR="00976F31" w:rsidRPr="00185D7A">
              <w:rPr>
                <w:rStyle w:val="Hipervnculo"/>
                <w:noProof/>
              </w:rPr>
              <w:t>2</w:t>
            </w:r>
            <w:r w:rsidR="00976F31">
              <w:rPr>
                <w:noProof/>
                <w:sz w:val="22"/>
                <w:szCs w:val="22"/>
                <w:lang w:eastAsia="es-CO"/>
              </w:rPr>
              <w:tab/>
            </w:r>
            <w:r w:rsidR="00976F31" w:rsidRPr="00185D7A">
              <w:rPr>
                <w:rStyle w:val="Hipervnculo"/>
                <w:noProof/>
              </w:rPr>
              <w:t>Funcionamiento</w:t>
            </w:r>
            <w:r w:rsidR="00976F31">
              <w:rPr>
                <w:noProof/>
                <w:webHidden/>
              </w:rPr>
              <w:tab/>
            </w:r>
            <w:r w:rsidR="00976F31">
              <w:rPr>
                <w:noProof/>
                <w:webHidden/>
              </w:rPr>
              <w:fldChar w:fldCharType="begin"/>
            </w:r>
            <w:r w:rsidR="00976F31">
              <w:rPr>
                <w:noProof/>
                <w:webHidden/>
              </w:rPr>
              <w:instrText xml:space="preserve"> PAGEREF _Toc482971095 \h </w:instrText>
            </w:r>
            <w:r w:rsidR="00976F31">
              <w:rPr>
                <w:noProof/>
                <w:webHidden/>
              </w:rPr>
            </w:r>
            <w:r w:rsidR="00976F31">
              <w:rPr>
                <w:noProof/>
                <w:webHidden/>
              </w:rPr>
              <w:fldChar w:fldCharType="separate"/>
            </w:r>
            <w:r w:rsidR="00976F31">
              <w:rPr>
                <w:noProof/>
                <w:webHidden/>
              </w:rPr>
              <w:t>7</w:t>
            </w:r>
            <w:r w:rsidR="00976F31">
              <w:rPr>
                <w:noProof/>
                <w:webHidden/>
              </w:rPr>
              <w:fldChar w:fldCharType="end"/>
            </w:r>
          </w:hyperlink>
        </w:p>
        <w:p w:rsidR="00976F31" w:rsidRDefault="006D1CC2">
          <w:pPr>
            <w:pStyle w:val="TDC2"/>
            <w:tabs>
              <w:tab w:val="left" w:pos="880"/>
              <w:tab w:val="right" w:leader="dot" w:pos="8828"/>
            </w:tabs>
            <w:rPr>
              <w:noProof/>
              <w:sz w:val="22"/>
              <w:szCs w:val="22"/>
              <w:lang w:eastAsia="es-CO"/>
            </w:rPr>
          </w:pPr>
          <w:hyperlink w:anchor="_Toc482971096" w:history="1">
            <w:r w:rsidR="00976F31" w:rsidRPr="00185D7A">
              <w:rPr>
                <w:rStyle w:val="Hipervnculo"/>
                <w:noProof/>
              </w:rPr>
              <w:t>2.1</w:t>
            </w:r>
            <w:r w:rsidR="00976F31">
              <w:rPr>
                <w:noProof/>
                <w:sz w:val="22"/>
                <w:szCs w:val="22"/>
                <w:lang w:eastAsia="es-CO"/>
              </w:rPr>
              <w:tab/>
            </w:r>
            <w:r w:rsidR="00976F31" w:rsidRPr="00185D7A">
              <w:rPr>
                <w:rStyle w:val="Hipervnculo"/>
                <w:noProof/>
              </w:rPr>
              <w:t>Gastos de personal</w:t>
            </w:r>
            <w:r w:rsidR="00976F31">
              <w:rPr>
                <w:noProof/>
                <w:webHidden/>
              </w:rPr>
              <w:tab/>
            </w:r>
            <w:r w:rsidR="00976F31">
              <w:rPr>
                <w:noProof/>
                <w:webHidden/>
              </w:rPr>
              <w:fldChar w:fldCharType="begin"/>
            </w:r>
            <w:r w:rsidR="00976F31">
              <w:rPr>
                <w:noProof/>
                <w:webHidden/>
              </w:rPr>
              <w:instrText xml:space="preserve"> PAGEREF _Toc482971096 \h </w:instrText>
            </w:r>
            <w:r w:rsidR="00976F31">
              <w:rPr>
                <w:noProof/>
                <w:webHidden/>
              </w:rPr>
            </w:r>
            <w:r w:rsidR="00976F31">
              <w:rPr>
                <w:noProof/>
                <w:webHidden/>
              </w:rPr>
              <w:fldChar w:fldCharType="separate"/>
            </w:r>
            <w:r w:rsidR="00976F31">
              <w:rPr>
                <w:noProof/>
                <w:webHidden/>
              </w:rPr>
              <w:t>7</w:t>
            </w:r>
            <w:r w:rsidR="00976F31">
              <w:rPr>
                <w:noProof/>
                <w:webHidden/>
              </w:rPr>
              <w:fldChar w:fldCharType="end"/>
            </w:r>
          </w:hyperlink>
        </w:p>
        <w:p w:rsidR="00976F31" w:rsidRDefault="006D1CC2">
          <w:pPr>
            <w:pStyle w:val="TDC2"/>
            <w:tabs>
              <w:tab w:val="left" w:pos="880"/>
              <w:tab w:val="right" w:leader="dot" w:pos="8828"/>
            </w:tabs>
            <w:rPr>
              <w:noProof/>
              <w:sz w:val="22"/>
              <w:szCs w:val="22"/>
              <w:lang w:eastAsia="es-CO"/>
            </w:rPr>
          </w:pPr>
          <w:hyperlink w:anchor="_Toc482971097" w:history="1">
            <w:r w:rsidR="00976F31" w:rsidRPr="00185D7A">
              <w:rPr>
                <w:rStyle w:val="Hipervnculo"/>
                <w:noProof/>
              </w:rPr>
              <w:t>2.2</w:t>
            </w:r>
            <w:r w:rsidR="00976F31">
              <w:rPr>
                <w:noProof/>
                <w:sz w:val="22"/>
                <w:szCs w:val="22"/>
                <w:lang w:eastAsia="es-CO"/>
              </w:rPr>
              <w:tab/>
            </w:r>
            <w:r w:rsidR="00976F31" w:rsidRPr="00185D7A">
              <w:rPr>
                <w:rStyle w:val="Hipervnculo"/>
                <w:noProof/>
              </w:rPr>
              <w:t>Gastos Generales y Transferencias</w:t>
            </w:r>
            <w:r w:rsidR="00976F31">
              <w:rPr>
                <w:noProof/>
                <w:webHidden/>
              </w:rPr>
              <w:tab/>
            </w:r>
            <w:r w:rsidR="00976F31">
              <w:rPr>
                <w:noProof/>
                <w:webHidden/>
              </w:rPr>
              <w:fldChar w:fldCharType="begin"/>
            </w:r>
            <w:r w:rsidR="00976F31">
              <w:rPr>
                <w:noProof/>
                <w:webHidden/>
              </w:rPr>
              <w:instrText xml:space="preserve"> PAGEREF _Toc482971097 \h </w:instrText>
            </w:r>
            <w:r w:rsidR="00976F31">
              <w:rPr>
                <w:noProof/>
                <w:webHidden/>
              </w:rPr>
            </w:r>
            <w:r w:rsidR="00976F31">
              <w:rPr>
                <w:noProof/>
                <w:webHidden/>
              </w:rPr>
              <w:fldChar w:fldCharType="separate"/>
            </w:r>
            <w:r w:rsidR="00976F31">
              <w:rPr>
                <w:noProof/>
                <w:webHidden/>
              </w:rPr>
              <w:t>8</w:t>
            </w:r>
            <w:r w:rsidR="00976F31">
              <w:rPr>
                <w:noProof/>
                <w:webHidden/>
              </w:rPr>
              <w:fldChar w:fldCharType="end"/>
            </w:r>
          </w:hyperlink>
        </w:p>
        <w:p w:rsidR="00976F31" w:rsidRDefault="006D1CC2">
          <w:pPr>
            <w:pStyle w:val="TDC1"/>
            <w:tabs>
              <w:tab w:val="left" w:pos="440"/>
              <w:tab w:val="right" w:leader="dot" w:pos="8828"/>
            </w:tabs>
            <w:rPr>
              <w:noProof/>
              <w:sz w:val="22"/>
              <w:szCs w:val="22"/>
              <w:lang w:eastAsia="es-CO"/>
            </w:rPr>
          </w:pPr>
          <w:hyperlink w:anchor="_Toc482971098" w:history="1">
            <w:r w:rsidR="00976F31" w:rsidRPr="00185D7A">
              <w:rPr>
                <w:rStyle w:val="Hipervnculo"/>
                <w:noProof/>
              </w:rPr>
              <w:t>3</w:t>
            </w:r>
            <w:r w:rsidR="00976F31">
              <w:rPr>
                <w:noProof/>
                <w:sz w:val="22"/>
                <w:szCs w:val="22"/>
                <w:lang w:eastAsia="es-CO"/>
              </w:rPr>
              <w:tab/>
            </w:r>
            <w:r w:rsidR="00976F31" w:rsidRPr="00185D7A">
              <w:rPr>
                <w:rStyle w:val="Hipervnculo"/>
                <w:noProof/>
              </w:rPr>
              <w:t>Inversión</w:t>
            </w:r>
            <w:r w:rsidR="00976F31">
              <w:rPr>
                <w:noProof/>
                <w:webHidden/>
              </w:rPr>
              <w:tab/>
            </w:r>
            <w:r w:rsidR="00976F31">
              <w:rPr>
                <w:noProof/>
                <w:webHidden/>
              </w:rPr>
              <w:fldChar w:fldCharType="begin"/>
            </w:r>
            <w:r w:rsidR="00976F31">
              <w:rPr>
                <w:noProof/>
                <w:webHidden/>
              </w:rPr>
              <w:instrText xml:space="preserve"> PAGEREF _Toc482971098 \h </w:instrText>
            </w:r>
            <w:r w:rsidR="00976F31">
              <w:rPr>
                <w:noProof/>
                <w:webHidden/>
              </w:rPr>
            </w:r>
            <w:r w:rsidR="00976F31">
              <w:rPr>
                <w:noProof/>
                <w:webHidden/>
              </w:rPr>
              <w:fldChar w:fldCharType="separate"/>
            </w:r>
            <w:r w:rsidR="00976F31">
              <w:rPr>
                <w:noProof/>
                <w:webHidden/>
              </w:rPr>
              <w:t>12</w:t>
            </w:r>
            <w:r w:rsidR="00976F31">
              <w:rPr>
                <w:noProof/>
                <w:webHidden/>
              </w:rPr>
              <w:fldChar w:fldCharType="end"/>
            </w:r>
          </w:hyperlink>
        </w:p>
        <w:p w:rsidR="00976F31" w:rsidRDefault="006D1CC2">
          <w:pPr>
            <w:pStyle w:val="TDC2"/>
            <w:tabs>
              <w:tab w:val="left" w:pos="880"/>
              <w:tab w:val="right" w:leader="dot" w:pos="8828"/>
            </w:tabs>
            <w:rPr>
              <w:noProof/>
              <w:sz w:val="22"/>
              <w:szCs w:val="22"/>
              <w:lang w:eastAsia="es-CO"/>
            </w:rPr>
          </w:pPr>
          <w:hyperlink w:anchor="_Toc482971099" w:history="1">
            <w:r w:rsidR="00976F31" w:rsidRPr="00185D7A">
              <w:rPr>
                <w:rStyle w:val="Hipervnculo"/>
                <w:noProof/>
              </w:rPr>
              <w:t>3.1</w:t>
            </w:r>
            <w:r w:rsidR="00976F31">
              <w:rPr>
                <w:noProof/>
                <w:sz w:val="22"/>
                <w:szCs w:val="22"/>
                <w:lang w:eastAsia="es-CO"/>
              </w:rPr>
              <w:tab/>
            </w:r>
            <w:r w:rsidR="00976F31" w:rsidRPr="00185D7A">
              <w:rPr>
                <w:rStyle w:val="Hipervnculo"/>
                <w:noProof/>
              </w:rPr>
              <w:t>Inversión Aportes Nación (Recurso 11):</w:t>
            </w:r>
            <w:r w:rsidR="00976F31">
              <w:rPr>
                <w:noProof/>
                <w:webHidden/>
              </w:rPr>
              <w:tab/>
            </w:r>
            <w:r w:rsidR="00976F31">
              <w:rPr>
                <w:noProof/>
                <w:webHidden/>
              </w:rPr>
              <w:fldChar w:fldCharType="begin"/>
            </w:r>
            <w:r w:rsidR="00976F31">
              <w:rPr>
                <w:noProof/>
                <w:webHidden/>
              </w:rPr>
              <w:instrText xml:space="preserve"> PAGEREF _Toc482971099 \h </w:instrText>
            </w:r>
            <w:r w:rsidR="00976F31">
              <w:rPr>
                <w:noProof/>
                <w:webHidden/>
              </w:rPr>
            </w:r>
            <w:r w:rsidR="00976F31">
              <w:rPr>
                <w:noProof/>
                <w:webHidden/>
              </w:rPr>
              <w:fldChar w:fldCharType="separate"/>
            </w:r>
            <w:r w:rsidR="00976F31">
              <w:rPr>
                <w:noProof/>
                <w:webHidden/>
              </w:rPr>
              <w:t>12</w:t>
            </w:r>
            <w:r w:rsidR="00976F31">
              <w:rPr>
                <w:noProof/>
                <w:webHidden/>
              </w:rPr>
              <w:fldChar w:fldCharType="end"/>
            </w:r>
          </w:hyperlink>
        </w:p>
        <w:p w:rsidR="00976F31" w:rsidRDefault="006D1CC2">
          <w:pPr>
            <w:pStyle w:val="TDC2"/>
            <w:tabs>
              <w:tab w:val="left" w:pos="880"/>
              <w:tab w:val="right" w:leader="dot" w:pos="8828"/>
            </w:tabs>
            <w:rPr>
              <w:noProof/>
              <w:sz w:val="22"/>
              <w:szCs w:val="22"/>
              <w:lang w:eastAsia="es-CO"/>
            </w:rPr>
          </w:pPr>
          <w:hyperlink w:anchor="_Toc482971100" w:history="1">
            <w:r w:rsidR="00976F31" w:rsidRPr="00185D7A">
              <w:rPr>
                <w:rStyle w:val="Hipervnculo"/>
                <w:noProof/>
              </w:rPr>
              <w:t>3.2</w:t>
            </w:r>
            <w:r w:rsidR="00976F31">
              <w:rPr>
                <w:noProof/>
                <w:sz w:val="22"/>
                <w:szCs w:val="22"/>
                <w:lang w:eastAsia="es-CO"/>
              </w:rPr>
              <w:tab/>
            </w:r>
            <w:r w:rsidR="00976F31" w:rsidRPr="00185D7A">
              <w:rPr>
                <w:rStyle w:val="Hipervnculo"/>
                <w:noProof/>
              </w:rPr>
              <w:t>Inversión Recursos Propios (Recurso 20 y 21):</w:t>
            </w:r>
            <w:r w:rsidR="00976F31">
              <w:rPr>
                <w:noProof/>
                <w:webHidden/>
              </w:rPr>
              <w:tab/>
            </w:r>
            <w:r w:rsidR="00976F31">
              <w:rPr>
                <w:noProof/>
                <w:webHidden/>
              </w:rPr>
              <w:fldChar w:fldCharType="begin"/>
            </w:r>
            <w:r w:rsidR="00976F31">
              <w:rPr>
                <w:noProof/>
                <w:webHidden/>
              </w:rPr>
              <w:instrText xml:space="preserve"> PAGEREF _Toc482971100 \h </w:instrText>
            </w:r>
            <w:r w:rsidR="00976F31">
              <w:rPr>
                <w:noProof/>
                <w:webHidden/>
              </w:rPr>
            </w:r>
            <w:r w:rsidR="00976F31">
              <w:rPr>
                <w:noProof/>
                <w:webHidden/>
              </w:rPr>
              <w:fldChar w:fldCharType="separate"/>
            </w:r>
            <w:r w:rsidR="00976F31">
              <w:rPr>
                <w:noProof/>
                <w:webHidden/>
              </w:rPr>
              <w:t>12</w:t>
            </w:r>
            <w:r w:rsidR="00976F31">
              <w:rPr>
                <w:noProof/>
                <w:webHidden/>
              </w:rPr>
              <w:fldChar w:fldCharType="end"/>
            </w:r>
          </w:hyperlink>
        </w:p>
        <w:p w:rsidR="00976F31" w:rsidRDefault="006D1CC2">
          <w:pPr>
            <w:pStyle w:val="TDC1"/>
            <w:tabs>
              <w:tab w:val="left" w:pos="440"/>
              <w:tab w:val="right" w:leader="dot" w:pos="8828"/>
            </w:tabs>
            <w:rPr>
              <w:noProof/>
              <w:sz w:val="22"/>
              <w:szCs w:val="22"/>
              <w:lang w:eastAsia="es-CO"/>
            </w:rPr>
          </w:pPr>
          <w:hyperlink w:anchor="_Toc482971101" w:history="1">
            <w:r w:rsidR="00976F31" w:rsidRPr="00185D7A">
              <w:rPr>
                <w:rStyle w:val="Hipervnculo"/>
                <w:noProof/>
              </w:rPr>
              <w:t>4</w:t>
            </w:r>
            <w:r w:rsidR="00976F31">
              <w:rPr>
                <w:noProof/>
                <w:sz w:val="22"/>
                <w:szCs w:val="22"/>
                <w:lang w:eastAsia="es-CO"/>
              </w:rPr>
              <w:tab/>
            </w:r>
            <w:r w:rsidR="00976F31" w:rsidRPr="00185D7A">
              <w:rPr>
                <w:rStyle w:val="Hipervnculo"/>
                <w:noProof/>
              </w:rPr>
              <w:t>Ejecución rezago presupuestal</w:t>
            </w:r>
            <w:r w:rsidR="00976F31">
              <w:rPr>
                <w:noProof/>
                <w:webHidden/>
              </w:rPr>
              <w:tab/>
            </w:r>
            <w:r w:rsidR="00976F31">
              <w:rPr>
                <w:noProof/>
                <w:webHidden/>
              </w:rPr>
              <w:fldChar w:fldCharType="begin"/>
            </w:r>
            <w:r w:rsidR="00976F31">
              <w:rPr>
                <w:noProof/>
                <w:webHidden/>
              </w:rPr>
              <w:instrText xml:space="preserve"> PAGEREF _Toc482971101 \h </w:instrText>
            </w:r>
            <w:r w:rsidR="00976F31">
              <w:rPr>
                <w:noProof/>
                <w:webHidden/>
              </w:rPr>
            </w:r>
            <w:r w:rsidR="00976F31">
              <w:rPr>
                <w:noProof/>
                <w:webHidden/>
              </w:rPr>
              <w:fldChar w:fldCharType="separate"/>
            </w:r>
            <w:r w:rsidR="00976F31">
              <w:rPr>
                <w:noProof/>
                <w:webHidden/>
              </w:rPr>
              <w:t>14</w:t>
            </w:r>
            <w:r w:rsidR="00976F31">
              <w:rPr>
                <w:noProof/>
                <w:webHidden/>
              </w:rPr>
              <w:fldChar w:fldCharType="end"/>
            </w:r>
          </w:hyperlink>
        </w:p>
        <w:p w:rsidR="00976F31" w:rsidRDefault="006D1CC2">
          <w:pPr>
            <w:pStyle w:val="TDC2"/>
            <w:tabs>
              <w:tab w:val="left" w:pos="880"/>
              <w:tab w:val="right" w:leader="dot" w:pos="8828"/>
            </w:tabs>
            <w:rPr>
              <w:noProof/>
              <w:sz w:val="22"/>
              <w:szCs w:val="22"/>
              <w:lang w:eastAsia="es-CO"/>
            </w:rPr>
          </w:pPr>
          <w:hyperlink w:anchor="_Toc482971102" w:history="1">
            <w:r w:rsidR="00976F31" w:rsidRPr="00185D7A">
              <w:rPr>
                <w:rStyle w:val="Hipervnculo"/>
                <w:noProof/>
              </w:rPr>
              <w:t>4.1</w:t>
            </w:r>
            <w:r w:rsidR="00976F31">
              <w:rPr>
                <w:noProof/>
                <w:sz w:val="22"/>
                <w:szCs w:val="22"/>
                <w:lang w:eastAsia="es-CO"/>
              </w:rPr>
              <w:tab/>
            </w:r>
            <w:r w:rsidR="00976F31" w:rsidRPr="00185D7A">
              <w:rPr>
                <w:rStyle w:val="Hipervnculo"/>
                <w:noProof/>
              </w:rPr>
              <w:t>Reservas Presupuestales</w:t>
            </w:r>
            <w:r w:rsidR="00976F31">
              <w:rPr>
                <w:noProof/>
                <w:webHidden/>
              </w:rPr>
              <w:tab/>
            </w:r>
            <w:r w:rsidR="00976F31">
              <w:rPr>
                <w:noProof/>
                <w:webHidden/>
              </w:rPr>
              <w:fldChar w:fldCharType="begin"/>
            </w:r>
            <w:r w:rsidR="00976F31">
              <w:rPr>
                <w:noProof/>
                <w:webHidden/>
              </w:rPr>
              <w:instrText xml:space="preserve"> PAGEREF _Toc482971102 \h </w:instrText>
            </w:r>
            <w:r w:rsidR="00976F31">
              <w:rPr>
                <w:noProof/>
                <w:webHidden/>
              </w:rPr>
            </w:r>
            <w:r w:rsidR="00976F31">
              <w:rPr>
                <w:noProof/>
                <w:webHidden/>
              </w:rPr>
              <w:fldChar w:fldCharType="separate"/>
            </w:r>
            <w:r w:rsidR="00976F31">
              <w:rPr>
                <w:noProof/>
                <w:webHidden/>
              </w:rPr>
              <w:t>14</w:t>
            </w:r>
            <w:r w:rsidR="00976F31">
              <w:rPr>
                <w:noProof/>
                <w:webHidden/>
              </w:rPr>
              <w:fldChar w:fldCharType="end"/>
            </w:r>
          </w:hyperlink>
        </w:p>
        <w:p w:rsidR="00976F31" w:rsidRDefault="006D1CC2">
          <w:pPr>
            <w:pStyle w:val="TDC2"/>
            <w:tabs>
              <w:tab w:val="left" w:pos="880"/>
              <w:tab w:val="right" w:leader="dot" w:pos="8828"/>
            </w:tabs>
            <w:rPr>
              <w:noProof/>
              <w:sz w:val="22"/>
              <w:szCs w:val="22"/>
              <w:lang w:eastAsia="es-CO"/>
            </w:rPr>
          </w:pPr>
          <w:hyperlink w:anchor="_Toc482971103" w:history="1">
            <w:r w:rsidR="00976F31" w:rsidRPr="00185D7A">
              <w:rPr>
                <w:rStyle w:val="Hipervnculo"/>
                <w:noProof/>
              </w:rPr>
              <w:t>4.2</w:t>
            </w:r>
            <w:r w:rsidR="00976F31">
              <w:rPr>
                <w:noProof/>
                <w:sz w:val="22"/>
                <w:szCs w:val="22"/>
                <w:lang w:eastAsia="es-CO"/>
              </w:rPr>
              <w:tab/>
            </w:r>
            <w:r w:rsidR="00976F31" w:rsidRPr="00185D7A">
              <w:rPr>
                <w:rStyle w:val="Hipervnculo"/>
                <w:noProof/>
              </w:rPr>
              <w:t>Cuentas por Pagar</w:t>
            </w:r>
            <w:r w:rsidR="00976F31">
              <w:rPr>
                <w:noProof/>
                <w:webHidden/>
              </w:rPr>
              <w:tab/>
            </w:r>
            <w:r w:rsidR="00976F31">
              <w:rPr>
                <w:noProof/>
                <w:webHidden/>
              </w:rPr>
              <w:fldChar w:fldCharType="begin"/>
            </w:r>
            <w:r w:rsidR="00976F31">
              <w:rPr>
                <w:noProof/>
                <w:webHidden/>
              </w:rPr>
              <w:instrText xml:space="preserve"> PAGEREF _Toc482971103 \h </w:instrText>
            </w:r>
            <w:r w:rsidR="00976F31">
              <w:rPr>
                <w:noProof/>
                <w:webHidden/>
              </w:rPr>
            </w:r>
            <w:r w:rsidR="00976F31">
              <w:rPr>
                <w:noProof/>
                <w:webHidden/>
              </w:rPr>
              <w:fldChar w:fldCharType="separate"/>
            </w:r>
            <w:r w:rsidR="00976F31">
              <w:rPr>
                <w:noProof/>
                <w:webHidden/>
              </w:rPr>
              <w:t>15</w:t>
            </w:r>
            <w:r w:rsidR="00976F31">
              <w:rPr>
                <w:noProof/>
                <w:webHidden/>
              </w:rPr>
              <w:fldChar w:fldCharType="end"/>
            </w:r>
          </w:hyperlink>
        </w:p>
        <w:p w:rsidR="00976F31" w:rsidRDefault="006D1CC2">
          <w:pPr>
            <w:pStyle w:val="TDC1"/>
            <w:tabs>
              <w:tab w:val="left" w:pos="440"/>
              <w:tab w:val="right" w:leader="dot" w:pos="8828"/>
            </w:tabs>
            <w:rPr>
              <w:noProof/>
              <w:sz w:val="22"/>
              <w:szCs w:val="22"/>
              <w:lang w:eastAsia="es-CO"/>
            </w:rPr>
          </w:pPr>
          <w:hyperlink w:anchor="_Toc482971104" w:history="1">
            <w:r w:rsidR="00976F31" w:rsidRPr="00185D7A">
              <w:rPr>
                <w:rStyle w:val="Hipervnculo"/>
                <w:noProof/>
              </w:rPr>
              <w:t>5</w:t>
            </w:r>
            <w:r w:rsidR="00976F31">
              <w:rPr>
                <w:noProof/>
                <w:sz w:val="22"/>
                <w:szCs w:val="22"/>
                <w:lang w:eastAsia="es-CO"/>
              </w:rPr>
              <w:tab/>
            </w:r>
            <w:r w:rsidR="00976F31" w:rsidRPr="00185D7A">
              <w:rPr>
                <w:rStyle w:val="Hipervnculo"/>
                <w:noProof/>
              </w:rPr>
              <w:t>Acciones tomadas</w:t>
            </w:r>
            <w:r w:rsidR="00976F31">
              <w:rPr>
                <w:noProof/>
                <w:webHidden/>
              </w:rPr>
              <w:tab/>
            </w:r>
            <w:r w:rsidR="00976F31">
              <w:rPr>
                <w:noProof/>
                <w:webHidden/>
              </w:rPr>
              <w:fldChar w:fldCharType="begin"/>
            </w:r>
            <w:r w:rsidR="00976F31">
              <w:rPr>
                <w:noProof/>
                <w:webHidden/>
              </w:rPr>
              <w:instrText xml:space="preserve"> PAGEREF _Toc482971104 \h </w:instrText>
            </w:r>
            <w:r w:rsidR="00976F31">
              <w:rPr>
                <w:noProof/>
                <w:webHidden/>
              </w:rPr>
            </w:r>
            <w:r w:rsidR="00976F31">
              <w:rPr>
                <w:noProof/>
                <w:webHidden/>
              </w:rPr>
              <w:fldChar w:fldCharType="separate"/>
            </w:r>
            <w:r w:rsidR="00976F31">
              <w:rPr>
                <w:noProof/>
                <w:webHidden/>
              </w:rPr>
              <w:t>17</w:t>
            </w:r>
            <w:r w:rsidR="00976F31">
              <w:rPr>
                <w:noProof/>
                <w:webHidden/>
              </w:rPr>
              <w:fldChar w:fldCharType="end"/>
            </w:r>
          </w:hyperlink>
        </w:p>
        <w:p w:rsidR="00305266" w:rsidRDefault="00305266">
          <w:r>
            <w:rPr>
              <w:b/>
              <w:bCs/>
              <w:lang w:val="es-ES"/>
            </w:rPr>
            <w:fldChar w:fldCharType="end"/>
          </w:r>
        </w:p>
      </w:sdtContent>
    </w:sdt>
    <w:p w:rsidR="00305266" w:rsidRDefault="00305266">
      <w:pPr>
        <w:spacing w:after="160" w:line="259" w:lineRule="auto"/>
      </w:pPr>
    </w:p>
    <w:p w:rsidR="00305266" w:rsidRDefault="00305266">
      <w:pPr>
        <w:spacing w:after="160" w:line="259" w:lineRule="auto"/>
      </w:pPr>
    </w:p>
    <w:p w:rsidR="00305266" w:rsidRDefault="00305266">
      <w:pPr>
        <w:spacing w:after="160" w:line="259" w:lineRule="auto"/>
      </w:pPr>
    </w:p>
    <w:p w:rsidR="00305266" w:rsidRDefault="00305266">
      <w:pPr>
        <w:spacing w:after="160" w:line="259" w:lineRule="auto"/>
      </w:pPr>
    </w:p>
    <w:p w:rsidR="00305266" w:rsidRDefault="00305266">
      <w:pPr>
        <w:spacing w:after="160" w:line="259" w:lineRule="auto"/>
      </w:pPr>
      <w:r>
        <w:br w:type="page"/>
      </w:r>
    </w:p>
    <w:p w:rsidR="002366FE" w:rsidRDefault="002366FE" w:rsidP="008958AE"/>
    <w:p w:rsidR="008958AE" w:rsidRPr="008958AE" w:rsidRDefault="008958AE" w:rsidP="008958AE">
      <w:pPr>
        <w:rPr>
          <w:rFonts w:cstheme="minorHAnsi"/>
          <w:sz w:val="20"/>
          <w:szCs w:val="20"/>
        </w:rPr>
      </w:pPr>
    </w:p>
    <w:p w:rsidR="008958AE" w:rsidRPr="008958AE" w:rsidRDefault="008958AE" w:rsidP="008958AE">
      <w:pPr>
        <w:rPr>
          <w:rFonts w:cstheme="minorHAnsi"/>
          <w:sz w:val="20"/>
          <w:szCs w:val="20"/>
        </w:rPr>
      </w:pPr>
    </w:p>
    <w:p w:rsidR="008958AE" w:rsidRDefault="008958AE" w:rsidP="00EA2DF7">
      <w:pPr>
        <w:pStyle w:val="Ttulo1"/>
      </w:pPr>
      <w:bookmarkStart w:id="0" w:name="_Toc482971091"/>
      <w:r w:rsidRPr="008958AE">
        <w:t>Valores y porcentajes</w:t>
      </w:r>
      <w:bookmarkEnd w:id="0"/>
    </w:p>
    <w:p w:rsidR="008958AE" w:rsidRPr="008958AE" w:rsidRDefault="008958AE" w:rsidP="008958AE">
      <w:pPr>
        <w:rPr>
          <w:rFonts w:cstheme="minorHAnsi"/>
          <w:sz w:val="20"/>
          <w:szCs w:val="20"/>
        </w:rPr>
      </w:pPr>
    </w:p>
    <w:p w:rsidR="002366FE" w:rsidRPr="002366FE" w:rsidRDefault="002366FE" w:rsidP="008958AE">
      <w:pPr>
        <w:rPr>
          <w:rFonts w:cstheme="minorHAnsi"/>
          <w:sz w:val="20"/>
          <w:szCs w:val="20"/>
        </w:rPr>
      </w:pPr>
    </w:p>
    <w:p w:rsidR="002366FE" w:rsidRPr="00F42C4B" w:rsidRDefault="002366FE" w:rsidP="008958AE">
      <w:pPr>
        <w:rPr>
          <w:rFonts w:cstheme="minorHAnsi"/>
          <w:sz w:val="20"/>
          <w:szCs w:val="20"/>
          <w:lang w:eastAsia="x-none"/>
        </w:rPr>
      </w:pPr>
      <w:r w:rsidRPr="007A5A56">
        <w:rPr>
          <w:noProof/>
          <w:lang w:eastAsia="es-CO"/>
        </w:rPr>
        <w:drawing>
          <wp:inline distT="0" distB="0" distL="0" distR="0" wp14:anchorId="1BB5F7A8" wp14:editId="2EEAB895">
            <wp:extent cx="5591175" cy="47529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2627" cy="4754209"/>
                    </a:xfrm>
                    <a:prstGeom prst="rect">
                      <a:avLst/>
                    </a:prstGeom>
                    <a:noFill/>
                    <a:ln>
                      <a:noFill/>
                    </a:ln>
                  </pic:spPr>
                </pic:pic>
              </a:graphicData>
            </a:graphic>
          </wp:inline>
        </w:drawing>
      </w:r>
    </w:p>
    <w:p w:rsidR="002366FE" w:rsidRPr="00D63E42" w:rsidRDefault="002366FE" w:rsidP="008958AE">
      <w:pPr>
        <w:rPr>
          <w:rFonts w:cstheme="minorHAnsi"/>
          <w:sz w:val="16"/>
          <w:szCs w:val="20"/>
        </w:rPr>
      </w:pPr>
      <w:r w:rsidRPr="00D63E42">
        <w:rPr>
          <w:rFonts w:cstheme="minorHAnsi"/>
          <w:sz w:val="16"/>
          <w:szCs w:val="20"/>
        </w:rPr>
        <w:t xml:space="preserve">FUENTE: SIIF NACION II. </w:t>
      </w:r>
    </w:p>
    <w:p w:rsidR="002366FE" w:rsidRPr="00BE5AAD" w:rsidRDefault="002366FE" w:rsidP="008958AE">
      <w:pPr>
        <w:rPr>
          <w:rFonts w:cstheme="minorHAnsi"/>
          <w:sz w:val="20"/>
          <w:szCs w:val="20"/>
          <w:lang w:eastAsia="x-none"/>
        </w:rPr>
      </w:pPr>
    </w:p>
    <w:p w:rsidR="002366FE" w:rsidRDefault="002366FE" w:rsidP="00EA2DF7">
      <w:pPr>
        <w:jc w:val="both"/>
        <w:rPr>
          <w:rFonts w:cstheme="minorHAnsi"/>
          <w:sz w:val="20"/>
          <w:szCs w:val="20"/>
        </w:rPr>
      </w:pPr>
      <w:r>
        <w:rPr>
          <w:rFonts w:cstheme="minorHAnsi"/>
          <w:sz w:val="20"/>
          <w:szCs w:val="20"/>
        </w:rPr>
        <w:t xml:space="preserve">Conforme al decreto de liquidación del presupuesto público nacional 2170 del 27 de diciembre de 2016, el IDEAM  recibió una apropiación de </w:t>
      </w:r>
      <w:r w:rsidRPr="00D63E42">
        <w:rPr>
          <w:rFonts w:cstheme="minorHAnsi"/>
          <w:sz w:val="20"/>
          <w:szCs w:val="20"/>
        </w:rPr>
        <w:t>$</w:t>
      </w:r>
      <w:r>
        <w:rPr>
          <w:rFonts w:cstheme="minorHAnsi"/>
          <w:sz w:val="20"/>
          <w:szCs w:val="20"/>
        </w:rPr>
        <w:t>71.328.0 millones que incluyen aporte nacional y recursos propios.</w:t>
      </w:r>
    </w:p>
    <w:p w:rsidR="002366FE" w:rsidRDefault="002366FE" w:rsidP="00EA2DF7">
      <w:pPr>
        <w:jc w:val="both"/>
        <w:rPr>
          <w:rFonts w:cstheme="minorHAnsi"/>
          <w:sz w:val="20"/>
          <w:szCs w:val="20"/>
        </w:rPr>
      </w:pPr>
    </w:p>
    <w:p w:rsidR="002366FE" w:rsidRPr="00D63E42" w:rsidRDefault="002366FE" w:rsidP="00EA2DF7">
      <w:pPr>
        <w:jc w:val="both"/>
        <w:rPr>
          <w:rFonts w:cstheme="minorHAnsi"/>
          <w:b/>
          <w:bCs/>
          <w:sz w:val="20"/>
          <w:szCs w:val="20"/>
        </w:rPr>
      </w:pPr>
      <w:r>
        <w:rPr>
          <w:rFonts w:cstheme="minorHAnsi"/>
          <w:sz w:val="20"/>
          <w:szCs w:val="20"/>
        </w:rPr>
        <w:t>En el primer trimestre de 2017 se realizaron compromisos por $32.961.5 millones, equivalentes al 46.2%  de esa apropiación, frente al 34.9% del mismo periodo en 2016, lo cual indica el compromiso institucional por optimizar el recurso asignado.</w:t>
      </w:r>
    </w:p>
    <w:p w:rsidR="002366FE" w:rsidRDefault="002366FE" w:rsidP="00056940">
      <w:pPr>
        <w:jc w:val="both"/>
        <w:rPr>
          <w:rFonts w:cstheme="minorHAnsi"/>
          <w:sz w:val="20"/>
          <w:szCs w:val="20"/>
        </w:rPr>
      </w:pPr>
    </w:p>
    <w:p w:rsidR="002366FE" w:rsidRDefault="002366FE" w:rsidP="00056940">
      <w:pPr>
        <w:jc w:val="both"/>
        <w:rPr>
          <w:rFonts w:cstheme="minorHAnsi"/>
          <w:sz w:val="20"/>
          <w:szCs w:val="20"/>
        </w:rPr>
      </w:pPr>
      <w:r w:rsidRPr="00D63E42">
        <w:rPr>
          <w:rFonts w:cstheme="minorHAnsi"/>
          <w:sz w:val="20"/>
          <w:szCs w:val="20"/>
        </w:rPr>
        <w:t>En Funcionamiento</w:t>
      </w:r>
      <w:r>
        <w:rPr>
          <w:rFonts w:cstheme="minorHAnsi"/>
          <w:sz w:val="20"/>
          <w:szCs w:val="20"/>
        </w:rPr>
        <w:t xml:space="preserve">, de los $44.313.7 </w:t>
      </w:r>
      <w:r w:rsidRPr="00D63E42">
        <w:rPr>
          <w:rFonts w:cstheme="minorHAnsi"/>
          <w:sz w:val="20"/>
          <w:szCs w:val="20"/>
        </w:rPr>
        <w:t xml:space="preserve">millones apropiados, según SIIF Nación, </w:t>
      </w:r>
      <w:r>
        <w:rPr>
          <w:rFonts w:cstheme="minorHAnsi"/>
          <w:sz w:val="20"/>
          <w:szCs w:val="20"/>
        </w:rPr>
        <w:t xml:space="preserve">$3.385.8 millones son recursos propios, para financiar parte de los gastos generales y transferencias. </w:t>
      </w:r>
    </w:p>
    <w:p w:rsidR="002366FE" w:rsidRDefault="002366FE" w:rsidP="00056940">
      <w:pPr>
        <w:jc w:val="both"/>
        <w:rPr>
          <w:rFonts w:cstheme="minorHAnsi"/>
          <w:sz w:val="20"/>
          <w:szCs w:val="20"/>
        </w:rPr>
      </w:pPr>
      <w:r>
        <w:rPr>
          <w:rFonts w:cstheme="minorHAnsi"/>
          <w:sz w:val="20"/>
          <w:szCs w:val="20"/>
        </w:rPr>
        <w:t xml:space="preserve">En inversión se programaron actividades con recurso 20 proveniente de convenios con otras entidades y recurso 21, otros recursos de tesorería para apalancar las necesidades en este renglón. </w:t>
      </w:r>
    </w:p>
    <w:p w:rsidR="002366FE" w:rsidRDefault="002366FE" w:rsidP="00056940">
      <w:pPr>
        <w:jc w:val="both"/>
        <w:rPr>
          <w:rFonts w:cstheme="minorHAnsi"/>
          <w:sz w:val="20"/>
          <w:szCs w:val="20"/>
        </w:rPr>
      </w:pPr>
      <w:r>
        <w:rPr>
          <w:rFonts w:cstheme="minorHAnsi"/>
          <w:sz w:val="20"/>
          <w:szCs w:val="20"/>
        </w:rPr>
        <w:t xml:space="preserve">En ejecución funcionamiento del primer trimestre </w:t>
      </w:r>
      <w:r w:rsidRPr="00D63E42">
        <w:rPr>
          <w:rFonts w:cstheme="minorHAnsi"/>
          <w:sz w:val="20"/>
          <w:szCs w:val="20"/>
        </w:rPr>
        <w:t xml:space="preserve">se realizaron compromisos  </w:t>
      </w:r>
      <w:r>
        <w:rPr>
          <w:rFonts w:cstheme="minorHAnsi"/>
          <w:sz w:val="20"/>
          <w:szCs w:val="20"/>
        </w:rPr>
        <w:t xml:space="preserve">por $18.950.6 millones </w:t>
      </w:r>
      <w:r w:rsidRPr="00D63E42">
        <w:rPr>
          <w:rFonts w:cstheme="minorHAnsi"/>
          <w:sz w:val="20"/>
          <w:szCs w:val="20"/>
        </w:rPr>
        <w:t xml:space="preserve">que representan el </w:t>
      </w:r>
      <w:r>
        <w:rPr>
          <w:rFonts w:cstheme="minorHAnsi"/>
          <w:sz w:val="20"/>
          <w:szCs w:val="20"/>
        </w:rPr>
        <w:t>42.8</w:t>
      </w:r>
      <w:r w:rsidRPr="00D63E42">
        <w:rPr>
          <w:rFonts w:cstheme="minorHAnsi"/>
          <w:sz w:val="20"/>
          <w:szCs w:val="20"/>
        </w:rPr>
        <w:t>%</w:t>
      </w:r>
      <w:r>
        <w:rPr>
          <w:rFonts w:cstheme="minorHAnsi"/>
          <w:sz w:val="20"/>
          <w:szCs w:val="20"/>
        </w:rPr>
        <w:t xml:space="preserve"> de la apropiación y</w:t>
      </w:r>
      <w:r w:rsidRPr="00D63E42">
        <w:rPr>
          <w:rFonts w:cstheme="minorHAnsi"/>
          <w:sz w:val="20"/>
          <w:szCs w:val="20"/>
        </w:rPr>
        <w:t xml:space="preserve"> </w:t>
      </w:r>
      <w:r>
        <w:rPr>
          <w:rFonts w:cstheme="minorHAnsi"/>
          <w:sz w:val="20"/>
          <w:szCs w:val="20"/>
        </w:rPr>
        <w:t>se realizaron pagos por</w:t>
      </w:r>
      <w:r w:rsidRPr="000A2E36">
        <w:rPr>
          <w:rFonts w:cstheme="minorHAnsi"/>
          <w:color w:val="FF0000"/>
          <w:sz w:val="20"/>
          <w:szCs w:val="20"/>
        </w:rPr>
        <w:t xml:space="preserve"> </w:t>
      </w:r>
      <w:r w:rsidRPr="000A2E36">
        <w:rPr>
          <w:rFonts w:cstheme="minorHAnsi"/>
          <w:sz w:val="20"/>
          <w:szCs w:val="20"/>
        </w:rPr>
        <w:t xml:space="preserve">$8.326.1 millones </w:t>
      </w:r>
      <w:r>
        <w:rPr>
          <w:rFonts w:cstheme="minorHAnsi"/>
          <w:sz w:val="20"/>
          <w:szCs w:val="20"/>
        </w:rPr>
        <w:t xml:space="preserve">que equivalen al 43.9% de lo comprometido. Es importante mencionar que la ejecución es bastante alta si se tiene en cuenta que se comprometió el 64.8% de la apropiación en gastos generales y que los gastos de personal se ejecutan a razón de una doceava (1/12).  </w:t>
      </w:r>
    </w:p>
    <w:p w:rsidR="002366FE" w:rsidRDefault="002366FE" w:rsidP="00056940">
      <w:pPr>
        <w:jc w:val="both"/>
        <w:rPr>
          <w:rFonts w:cstheme="minorHAnsi"/>
          <w:sz w:val="20"/>
          <w:szCs w:val="20"/>
        </w:rPr>
      </w:pPr>
    </w:p>
    <w:p w:rsidR="002366FE" w:rsidRPr="002366FE" w:rsidRDefault="002366FE" w:rsidP="008958AE">
      <w:pPr>
        <w:rPr>
          <w:rFonts w:cstheme="minorHAnsi"/>
          <w:sz w:val="20"/>
          <w:szCs w:val="20"/>
        </w:rPr>
      </w:pPr>
    </w:p>
    <w:p w:rsidR="002366FE" w:rsidRPr="00EA2DF7" w:rsidRDefault="002366FE" w:rsidP="00EA2DF7">
      <w:pPr>
        <w:pStyle w:val="Ttulo2"/>
      </w:pPr>
      <w:bookmarkStart w:id="1" w:name="_Toc482971092"/>
      <w:r w:rsidRPr="00EA2DF7">
        <w:t>Gastos de personal</w:t>
      </w:r>
      <w:bookmarkEnd w:id="1"/>
    </w:p>
    <w:p w:rsidR="002366FE" w:rsidRDefault="002366FE" w:rsidP="008958AE">
      <w:pPr>
        <w:rPr>
          <w:rFonts w:cstheme="minorHAnsi"/>
          <w:sz w:val="20"/>
          <w:szCs w:val="20"/>
        </w:rPr>
      </w:pPr>
    </w:p>
    <w:p w:rsidR="002366FE" w:rsidRDefault="002366FE" w:rsidP="008958AE">
      <w:pPr>
        <w:rPr>
          <w:rFonts w:cstheme="minorHAnsi"/>
          <w:sz w:val="20"/>
          <w:szCs w:val="20"/>
        </w:rPr>
      </w:pPr>
    </w:p>
    <w:p w:rsidR="002366FE" w:rsidRDefault="002366FE" w:rsidP="008958AE">
      <w:pPr>
        <w:rPr>
          <w:rFonts w:cstheme="minorHAnsi"/>
          <w:sz w:val="20"/>
          <w:szCs w:val="20"/>
        </w:rPr>
      </w:pPr>
      <w:r w:rsidRPr="0064644C">
        <w:rPr>
          <w:noProof/>
          <w:lang w:eastAsia="es-CO"/>
        </w:rPr>
        <w:drawing>
          <wp:inline distT="0" distB="0" distL="0" distR="0" wp14:anchorId="7DB7E9B7" wp14:editId="138E1D86">
            <wp:extent cx="5467350" cy="23241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7599" cy="2328457"/>
                    </a:xfrm>
                    <a:prstGeom prst="rect">
                      <a:avLst/>
                    </a:prstGeom>
                    <a:noFill/>
                    <a:ln>
                      <a:noFill/>
                    </a:ln>
                  </pic:spPr>
                </pic:pic>
              </a:graphicData>
            </a:graphic>
          </wp:inline>
        </w:drawing>
      </w:r>
    </w:p>
    <w:p w:rsidR="002366FE" w:rsidRDefault="002366FE" w:rsidP="008958AE">
      <w:pPr>
        <w:rPr>
          <w:rFonts w:cstheme="minorHAnsi"/>
          <w:sz w:val="20"/>
          <w:szCs w:val="20"/>
        </w:rPr>
      </w:pPr>
    </w:p>
    <w:p w:rsidR="002366FE" w:rsidRDefault="002366FE" w:rsidP="00056940">
      <w:pPr>
        <w:jc w:val="both"/>
        <w:rPr>
          <w:rFonts w:cstheme="minorHAnsi"/>
          <w:sz w:val="20"/>
          <w:szCs w:val="20"/>
        </w:rPr>
      </w:pPr>
      <w:r>
        <w:rPr>
          <w:rFonts w:cstheme="minorHAnsi"/>
          <w:sz w:val="20"/>
          <w:szCs w:val="20"/>
        </w:rPr>
        <w:t xml:space="preserve">En Gastos de personal se apropiaron $26.504.3 millones que no son suficientes para  cubrir el 100% de las necesidades, teniendo en cuenta las horas extras, recargos nocturnos y dominicales del personal que trabaja en meteorología aeronáutica en los 27 aeropuertos del país, que han incrementado su operación aérea, así como el nombramiento de personal, en virtud de la convocatoria 319 de 2014, de la CNSC que surtió efecto en 2016 y no se ha podido dar posesión a los que ganaron el concurso. </w:t>
      </w:r>
    </w:p>
    <w:p w:rsidR="00EA2DF7" w:rsidRDefault="00EA2DF7">
      <w:pPr>
        <w:rPr>
          <w:rFonts w:cstheme="minorHAnsi"/>
          <w:sz w:val="20"/>
          <w:szCs w:val="20"/>
        </w:rPr>
      </w:pPr>
      <w:r>
        <w:rPr>
          <w:rFonts w:cstheme="minorHAnsi"/>
          <w:sz w:val="20"/>
          <w:szCs w:val="20"/>
        </w:rPr>
        <w:br w:type="page"/>
      </w:r>
    </w:p>
    <w:p w:rsidR="008958AE" w:rsidRPr="008958AE" w:rsidRDefault="008958AE" w:rsidP="008958AE">
      <w:pPr>
        <w:rPr>
          <w:rFonts w:cstheme="minorHAnsi"/>
          <w:sz w:val="20"/>
          <w:szCs w:val="20"/>
        </w:rPr>
      </w:pPr>
    </w:p>
    <w:p w:rsidR="002366FE" w:rsidRDefault="008958AE" w:rsidP="00F10B4B">
      <w:pPr>
        <w:pStyle w:val="Ttulo2"/>
      </w:pPr>
      <w:bookmarkStart w:id="2" w:name="_Toc482971093"/>
      <w:r w:rsidRPr="008958AE">
        <w:t>Gastos Generales</w:t>
      </w:r>
      <w:bookmarkEnd w:id="2"/>
      <w:r w:rsidR="001B351F">
        <w:t xml:space="preserve"> y transferencias</w:t>
      </w:r>
    </w:p>
    <w:p w:rsidR="008958AE" w:rsidRDefault="008958AE" w:rsidP="008958AE">
      <w:pPr>
        <w:rPr>
          <w:rFonts w:cstheme="minorHAnsi"/>
          <w:sz w:val="20"/>
          <w:szCs w:val="20"/>
        </w:rPr>
      </w:pPr>
    </w:p>
    <w:p w:rsidR="008958AE" w:rsidRDefault="008958AE" w:rsidP="008958AE">
      <w:pPr>
        <w:rPr>
          <w:rFonts w:cstheme="minorHAnsi"/>
          <w:sz w:val="20"/>
          <w:szCs w:val="20"/>
        </w:rPr>
      </w:pPr>
    </w:p>
    <w:p w:rsidR="0021356E" w:rsidRPr="004E55A7" w:rsidRDefault="0021356E" w:rsidP="0021356E">
      <w:pPr>
        <w:pStyle w:val="Prrafodelista"/>
        <w:ind w:left="360" w:hanging="360"/>
        <w:rPr>
          <w:rFonts w:cstheme="minorHAnsi"/>
          <w:sz w:val="20"/>
          <w:szCs w:val="20"/>
        </w:rPr>
      </w:pPr>
      <w:r w:rsidRPr="004E55A7">
        <w:rPr>
          <w:noProof/>
          <w:lang w:eastAsia="es-CO"/>
        </w:rPr>
        <w:drawing>
          <wp:inline distT="0" distB="0" distL="0" distR="0" wp14:anchorId="4E0F63E3" wp14:editId="3F77DCDF">
            <wp:extent cx="6149799" cy="401955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3150" cy="4021740"/>
                    </a:xfrm>
                    <a:prstGeom prst="rect">
                      <a:avLst/>
                    </a:prstGeom>
                    <a:noFill/>
                    <a:ln>
                      <a:noFill/>
                    </a:ln>
                  </pic:spPr>
                </pic:pic>
              </a:graphicData>
            </a:graphic>
          </wp:inline>
        </w:drawing>
      </w:r>
    </w:p>
    <w:p w:rsidR="0021356E" w:rsidRDefault="0021356E" w:rsidP="0021356E">
      <w:pPr>
        <w:tabs>
          <w:tab w:val="right" w:pos="426"/>
        </w:tabs>
        <w:jc w:val="both"/>
        <w:rPr>
          <w:rFonts w:cstheme="minorHAnsi"/>
          <w:sz w:val="16"/>
          <w:szCs w:val="20"/>
        </w:rPr>
      </w:pPr>
      <w:r w:rsidRPr="00D63E42">
        <w:rPr>
          <w:rFonts w:cstheme="minorHAnsi"/>
          <w:sz w:val="16"/>
          <w:szCs w:val="20"/>
        </w:rPr>
        <w:t>FUENTE: SIIF NACION II. OFICINA ASESORA DE PLANEACIÓN</w:t>
      </w:r>
    </w:p>
    <w:p w:rsidR="00056940" w:rsidRDefault="00056940" w:rsidP="0021356E">
      <w:pPr>
        <w:jc w:val="both"/>
        <w:rPr>
          <w:rFonts w:cstheme="minorHAnsi"/>
          <w:sz w:val="20"/>
          <w:szCs w:val="20"/>
        </w:rPr>
      </w:pPr>
    </w:p>
    <w:p w:rsidR="001B351F" w:rsidRDefault="0021356E" w:rsidP="0021356E">
      <w:pPr>
        <w:jc w:val="both"/>
        <w:rPr>
          <w:rFonts w:cstheme="minorHAnsi"/>
          <w:sz w:val="20"/>
          <w:szCs w:val="20"/>
        </w:rPr>
      </w:pPr>
      <w:r>
        <w:rPr>
          <w:rFonts w:cstheme="minorHAnsi"/>
          <w:sz w:val="20"/>
          <w:szCs w:val="20"/>
        </w:rPr>
        <w:t>En Gastos Generales se aforaron recursos propios provenientes de rendimientos financieros y otras actividades por venta de bienes y servicios</w:t>
      </w:r>
      <w:r w:rsidR="001B351F">
        <w:rPr>
          <w:rFonts w:cstheme="minorHAnsi"/>
          <w:sz w:val="20"/>
          <w:szCs w:val="20"/>
        </w:rPr>
        <w:t>.</w:t>
      </w:r>
    </w:p>
    <w:p w:rsidR="001B351F" w:rsidRDefault="001B351F" w:rsidP="0021356E">
      <w:pPr>
        <w:jc w:val="both"/>
        <w:rPr>
          <w:rFonts w:cstheme="minorHAnsi"/>
          <w:sz w:val="20"/>
          <w:szCs w:val="20"/>
        </w:rPr>
      </w:pPr>
    </w:p>
    <w:p w:rsidR="0021356E" w:rsidRDefault="001B351F" w:rsidP="0021356E">
      <w:pPr>
        <w:jc w:val="both"/>
        <w:rPr>
          <w:rFonts w:cstheme="minorHAnsi"/>
          <w:sz w:val="20"/>
          <w:szCs w:val="20"/>
        </w:rPr>
      </w:pPr>
      <w:r>
        <w:rPr>
          <w:rFonts w:cstheme="minorHAnsi"/>
          <w:sz w:val="20"/>
          <w:szCs w:val="20"/>
        </w:rPr>
        <w:t>Las transferencias no tuvieron movimiento en este período.</w:t>
      </w:r>
      <w:r w:rsidR="0021356E">
        <w:rPr>
          <w:rFonts w:cstheme="minorHAnsi"/>
          <w:sz w:val="20"/>
          <w:szCs w:val="20"/>
        </w:rPr>
        <w:t xml:space="preserve"> </w:t>
      </w:r>
    </w:p>
    <w:p w:rsidR="0021356E" w:rsidRDefault="0021356E" w:rsidP="008958AE">
      <w:pPr>
        <w:rPr>
          <w:rFonts w:cstheme="minorHAnsi"/>
          <w:sz w:val="20"/>
          <w:szCs w:val="20"/>
        </w:rPr>
      </w:pPr>
    </w:p>
    <w:p w:rsidR="00EA2DF7" w:rsidRDefault="00EA2DF7">
      <w:pPr>
        <w:rPr>
          <w:rFonts w:cstheme="minorHAnsi"/>
          <w:sz w:val="20"/>
          <w:szCs w:val="20"/>
        </w:rPr>
      </w:pPr>
      <w:r>
        <w:rPr>
          <w:rFonts w:cstheme="minorHAnsi"/>
          <w:sz w:val="20"/>
          <w:szCs w:val="20"/>
        </w:rPr>
        <w:br w:type="page"/>
      </w:r>
    </w:p>
    <w:p w:rsidR="0021356E" w:rsidRDefault="0021356E" w:rsidP="008958AE">
      <w:pPr>
        <w:rPr>
          <w:rFonts w:cstheme="minorHAnsi"/>
          <w:sz w:val="20"/>
          <w:szCs w:val="20"/>
        </w:rPr>
      </w:pPr>
    </w:p>
    <w:p w:rsidR="0021356E" w:rsidRPr="0021356E" w:rsidRDefault="0021356E" w:rsidP="00F10B4B">
      <w:pPr>
        <w:pStyle w:val="Ttulo2"/>
      </w:pPr>
      <w:bookmarkStart w:id="3" w:name="_Toc482971094"/>
      <w:r w:rsidRPr="0021356E">
        <w:t>Inversión</w:t>
      </w:r>
      <w:bookmarkEnd w:id="3"/>
    </w:p>
    <w:p w:rsidR="0021356E" w:rsidRPr="0021356E" w:rsidRDefault="0021356E" w:rsidP="0021356E">
      <w:pPr>
        <w:rPr>
          <w:rFonts w:cstheme="minorHAnsi"/>
          <w:sz w:val="20"/>
          <w:szCs w:val="20"/>
        </w:rPr>
      </w:pPr>
    </w:p>
    <w:p w:rsidR="0021356E" w:rsidRDefault="0021356E" w:rsidP="00056940">
      <w:pPr>
        <w:jc w:val="both"/>
        <w:rPr>
          <w:rFonts w:cstheme="minorHAnsi"/>
          <w:sz w:val="20"/>
          <w:szCs w:val="20"/>
        </w:rPr>
      </w:pPr>
      <w:r w:rsidRPr="0021356E">
        <w:rPr>
          <w:rFonts w:cstheme="minorHAnsi"/>
          <w:sz w:val="20"/>
          <w:szCs w:val="20"/>
        </w:rPr>
        <w:t>En Inversión, la apropiación es de $27.014.3 millones y se compone de $20.704.1 millones aporte nacional y $6.310.2 millones recursos propios, los cuales se ejecutan en el proyecto: Fortalecimiento de la gestión del conocimiento hidrológico, meteorológico, ambiental y climático, (Código BPIN 2013011000334).</w:t>
      </w:r>
    </w:p>
    <w:p w:rsidR="0021356E" w:rsidRPr="0021356E" w:rsidRDefault="0021356E" w:rsidP="0021356E">
      <w:pPr>
        <w:rPr>
          <w:rFonts w:cstheme="minorHAnsi"/>
          <w:sz w:val="20"/>
          <w:szCs w:val="20"/>
        </w:rPr>
      </w:pPr>
    </w:p>
    <w:p w:rsidR="00A06DBF" w:rsidRDefault="00A06DBF" w:rsidP="00A06DBF">
      <w:pPr>
        <w:rPr>
          <w:rFonts w:cstheme="minorHAnsi"/>
          <w:sz w:val="20"/>
          <w:szCs w:val="20"/>
        </w:rPr>
      </w:pPr>
      <w:r w:rsidRPr="00102C6C">
        <w:rPr>
          <w:noProof/>
          <w:lang w:eastAsia="es-CO"/>
        </w:rPr>
        <w:drawing>
          <wp:inline distT="0" distB="0" distL="0" distR="0" wp14:anchorId="746135F1" wp14:editId="505F6413">
            <wp:extent cx="5873876" cy="42698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2772" cy="4269048"/>
                    </a:xfrm>
                    <a:prstGeom prst="rect">
                      <a:avLst/>
                    </a:prstGeom>
                    <a:noFill/>
                    <a:ln>
                      <a:noFill/>
                    </a:ln>
                  </pic:spPr>
                </pic:pic>
              </a:graphicData>
            </a:graphic>
          </wp:inline>
        </w:drawing>
      </w:r>
    </w:p>
    <w:p w:rsidR="00A06DBF" w:rsidRDefault="00A06DBF" w:rsidP="00A06DBF">
      <w:pPr>
        <w:rPr>
          <w:rFonts w:cstheme="minorHAnsi"/>
          <w:sz w:val="16"/>
          <w:szCs w:val="20"/>
        </w:rPr>
      </w:pPr>
      <w:r>
        <w:rPr>
          <w:rFonts w:cstheme="minorHAnsi"/>
          <w:sz w:val="16"/>
          <w:szCs w:val="20"/>
        </w:rPr>
        <w:t>FUENTE: SIIF NACION II</w:t>
      </w:r>
      <w:r w:rsidRPr="002A4F74">
        <w:rPr>
          <w:rFonts w:cstheme="minorHAnsi"/>
          <w:sz w:val="16"/>
          <w:szCs w:val="20"/>
        </w:rPr>
        <w:t xml:space="preserve"> Oficina Asesora de Planeación</w:t>
      </w:r>
    </w:p>
    <w:p w:rsidR="0021356E" w:rsidRDefault="0021356E" w:rsidP="008958AE">
      <w:pPr>
        <w:rPr>
          <w:rFonts w:cstheme="minorHAnsi"/>
          <w:sz w:val="20"/>
          <w:szCs w:val="20"/>
        </w:rPr>
      </w:pPr>
    </w:p>
    <w:p w:rsidR="00EA2DF7" w:rsidRDefault="00EA2DF7">
      <w:pPr>
        <w:rPr>
          <w:rFonts w:cstheme="minorHAnsi"/>
          <w:sz w:val="20"/>
          <w:szCs w:val="20"/>
        </w:rPr>
      </w:pPr>
      <w:r>
        <w:rPr>
          <w:rFonts w:cstheme="minorHAnsi"/>
          <w:sz w:val="20"/>
          <w:szCs w:val="20"/>
        </w:rPr>
        <w:br w:type="page"/>
      </w:r>
    </w:p>
    <w:p w:rsidR="0021356E" w:rsidRDefault="0021356E" w:rsidP="008958AE">
      <w:pPr>
        <w:rPr>
          <w:rFonts w:cstheme="minorHAnsi"/>
          <w:sz w:val="20"/>
          <w:szCs w:val="20"/>
        </w:rPr>
      </w:pPr>
    </w:p>
    <w:p w:rsidR="008657E2" w:rsidRPr="008657E2" w:rsidRDefault="008657E2" w:rsidP="008657E2">
      <w:pPr>
        <w:pStyle w:val="Ttulo1"/>
      </w:pPr>
      <w:bookmarkStart w:id="4" w:name="_Toc482971095"/>
      <w:r w:rsidRPr="008657E2">
        <w:t>Funcionamiento</w:t>
      </w:r>
      <w:bookmarkEnd w:id="4"/>
    </w:p>
    <w:p w:rsidR="008657E2" w:rsidRPr="008657E2" w:rsidRDefault="008657E2" w:rsidP="008657E2">
      <w:pPr>
        <w:rPr>
          <w:rFonts w:cstheme="minorHAnsi"/>
          <w:sz w:val="20"/>
          <w:szCs w:val="20"/>
        </w:rPr>
      </w:pPr>
    </w:p>
    <w:p w:rsidR="008657E2" w:rsidRPr="008657E2" w:rsidRDefault="008657E2" w:rsidP="00056940">
      <w:pPr>
        <w:jc w:val="both"/>
        <w:rPr>
          <w:rFonts w:cstheme="minorHAnsi"/>
          <w:sz w:val="20"/>
          <w:szCs w:val="20"/>
        </w:rPr>
      </w:pPr>
      <w:r w:rsidRPr="008657E2">
        <w:rPr>
          <w:rFonts w:cstheme="minorHAnsi"/>
          <w:sz w:val="20"/>
          <w:szCs w:val="20"/>
        </w:rPr>
        <w:t xml:space="preserve">En el primer trimestre se comprometieron $14.010.9 millones que equivalen al 51.9% de la apropiación y se realizaron pagos por $996.7 millones que representan el 7.1% de lo comprometido; en este aspecto es de resaltar que lo pagado corresponde a que ya se han recibido los productos y a las actividades propias del Ideam, así como al cumplimiento de los compromisos contenidos en el Plan Nacional de Desarrollo 2014-2018, “todos por un nuevo país”.  El pago de las obligaciones está sujeto a  la disponibilidad de PAC por parte del Ministerio de Hacienda y Crédito Público. </w:t>
      </w:r>
    </w:p>
    <w:p w:rsidR="00F10B4B" w:rsidRPr="008657E2" w:rsidRDefault="008657E2" w:rsidP="00EA2DF7">
      <w:pPr>
        <w:jc w:val="both"/>
        <w:rPr>
          <w:rFonts w:cstheme="minorHAnsi"/>
          <w:sz w:val="20"/>
          <w:szCs w:val="20"/>
        </w:rPr>
      </w:pPr>
      <w:r w:rsidRPr="008657E2">
        <w:rPr>
          <w:rFonts w:cstheme="minorHAnsi"/>
          <w:sz w:val="20"/>
          <w:szCs w:val="20"/>
        </w:rPr>
        <w:t> </w:t>
      </w:r>
    </w:p>
    <w:p w:rsidR="008657E2" w:rsidRPr="008657E2" w:rsidRDefault="008657E2" w:rsidP="008657E2">
      <w:pPr>
        <w:pStyle w:val="Ttulo2"/>
      </w:pPr>
      <w:bookmarkStart w:id="5" w:name="_Toc482971096"/>
      <w:r w:rsidRPr="008657E2">
        <w:t>Gastos de personal</w:t>
      </w:r>
      <w:bookmarkEnd w:id="5"/>
    </w:p>
    <w:p w:rsidR="00A06DBF" w:rsidRDefault="00A06DBF" w:rsidP="008958AE">
      <w:pPr>
        <w:rPr>
          <w:rFonts w:cstheme="minorHAnsi"/>
          <w:sz w:val="20"/>
          <w:szCs w:val="20"/>
        </w:rPr>
      </w:pPr>
    </w:p>
    <w:p w:rsidR="008958AE" w:rsidRDefault="008958AE" w:rsidP="008958AE">
      <w:pPr>
        <w:rPr>
          <w:rFonts w:cstheme="minorHAnsi"/>
          <w:sz w:val="20"/>
          <w:szCs w:val="20"/>
        </w:rPr>
      </w:pPr>
    </w:p>
    <w:p w:rsidR="00CB2981" w:rsidRDefault="00CB2981" w:rsidP="00CB2981">
      <w:pPr>
        <w:jc w:val="both"/>
        <w:rPr>
          <w:rFonts w:cstheme="minorHAnsi"/>
          <w:sz w:val="20"/>
          <w:szCs w:val="20"/>
        </w:rPr>
      </w:pPr>
      <w:r w:rsidRPr="00B7316E">
        <w:rPr>
          <w:noProof/>
          <w:lang w:eastAsia="es-CO"/>
        </w:rPr>
        <w:drawing>
          <wp:inline distT="0" distB="0" distL="0" distR="0" wp14:anchorId="768EFAC0" wp14:editId="66368D63">
            <wp:extent cx="6154309" cy="3419061"/>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3150" cy="3418417"/>
                    </a:xfrm>
                    <a:prstGeom prst="rect">
                      <a:avLst/>
                    </a:prstGeom>
                    <a:noFill/>
                    <a:ln>
                      <a:noFill/>
                    </a:ln>
                  </pic:spPr>
                </pic:pic>
              </a:graphicData>
            </a:graphic>
          </wp:inline>
        </w:drawing>
      </w:r>
    </w:p>
    <w:p w:rsidR="00CB2981" w:rsidRPr="002A4F74" w:rsidRDefault="00CB2981" w:rsidP="00CB2981">
      <w:pPr>
        <w:jc w:val="both"/>
        <w:rPr>
          <w:rFonts w:cstheme="minorHAnsi"/>
          <w:sz w:val="16"/>
          <w:szCs w:val="20"/>
        </w:rPr>
      </w:pPr>
      <w:r w:rsidRPr="002A4F74">
        <w:rPr>
          <w:rFonts w:cstheme="minorHAnsi"/>
          <w:sz w:val="16"/>
          <w:szCs w:val="20"/>
        </w:rPr>
        <w:t>FUENTE: SIIF NACIÓN</w:t>
      </w:r>
      <w:r>
        <w:rPr>
          <w:rFonts w:cstheme="minorHAnsi"/>
          <w:sz w:val="16"/>
          <w:szCs w:val="20"/>
        </w:rPr>
        <w:t xml:space="preserve"> II</w:t>
      </w:r>
    </w:p>
    <w:p w:rsidR="008657E2" w:rsidRDefault="008657E2" w:rsidP="008958AE">
      <w:pPr>
        <w:rPr>
          <w:rFonts w:cstheme="minorHAnsi"/>
          <w:sz w:val="20"/>
          <w:szCs w:val="20"/>
        </w:rPr>
      </w:pPr>
    </w:p>
    <w:p w:rsidR="00EA2DF7" w:rsidRDefault="00EA2DF7">
      <w:pPr>
        <w:rPr>
          <w:rFonts w:cstheme="minorHAnsi"/>
          <w:sz w:val="20"/>
          <w:szCs w:val="20"/>
        </w:rPr>
      </w:pPr>
      <w:r>
        <w:rPr>
          <w:rFonts w:cstheme="minorHAnsi"/>
          <w:sz w:val="20"/>
          <w:szCs w:val="20"/>
        </w:rPr>
        <w:br w:type="page"/>
      </w:r>
    </w:p>
    <w:p w:rsidR="00CB2981" w:rsidRDefault="00CB2981" w:rsidP="008958AE">
      <w:pPr>
        <w:rPr>
          <w:rFonts w:cstheme="minorHAnsi"/>
          <w:sz w:val="20"/>
          <w:szCs w:val="20"/>
        </w:rPr>
      </w:pPr>
    </w:p>
    <w:p w:rsidR="00CB2981" w:rsidRPr="00CB2981" w:rsidRDefault="00CB2981" w:rsidP="00CB2981">
      <w:pPr>
        <w:pStyle w:val="Ttulo2"/>
      </w:pPr>
      <w:bookmarkStart w:id="6" w:name="_Toc482971097"/>
      <w:r w:rsidRPr="00CB2981">
        <w:t>Gastos Generales y Transferencias</w:t>
      </w:r>
      <w:bookmarkEnd w:id="6"/>
    </w:p>
    <w:p w:rsidR="00CB2981" w:rsidRPr="00CB2981" w:rsidRDefault="00CB2981" w:rsidP="00CB2981">
      <w:pPr>
        <w:rPr>
          <w:rFonts w:cstheme="minorHAnsi"/>
          <w:sz w:val="20"/>
          <w:szCs w:val="20"/>
        </w:rPr>
      </w:pPr>
    </w:p>
    <w:p w:rsidR="00CB2981" w:rsidRPr="00CB2981" w:rsidRDefault="00CB2981" w:rsidP="00CB2981">
      <w:pPr>
        <w:rPr>
          <w:rFonts w:cstheme="minorHAnsi"/>
          <w:sz w:val="20"/>
          <w:szCs w:val="20"/>
        </w:rPr>
      </w:pPr>
      <w:r w:rsidRPr="00CB2981">
        <w:rPr>
          <w:rFonts w:cstheme="minorHAnsi"/>
          <w:sz w:val="20"/>
          <w:szCs w:val="20"/>
        </w:rPr>
        <w:t>De la apropiación SIIF Nación por $18.111.90 millones se comprometieron recursos por $16.120.8  millones que representan el 89% de la apropiación, con pagos por $15.131.4 millones que equivalen al 94%.</w:t>
      </w:r>
    </w:p>
    <w:p w:rsidR="00CB2981" w:rsidRPr="00CB2981" w:rsidRDefault="00CB2981" w:rsidP="00CB2981">
      <w:pPr>
        <w:rPr>
          <w:rFonts w:cstheme="minorHAnsi"/>
          <w:sz w:val="20"/>
          <w:szCs w:val="20"/>
        </w:rPr>
      </w:pPr>
      <w:r w:rsidRPr="00CB2981">
        <w:rPr>
          <w:rFonts w:cstheme="minorHAnsi"/>
          <w:sz w:val="20"/>
          <w:szCs w:val="20"/>
        </w:rPr>
        <w:t xml:space="preserve">Los recursos que no tuvieron afectación presupuestal se devuelven a la dirección general del tesoro.  </w:t>
      </w:r>
    </w:p>
    <w:p w:rsidR="00CB2981" w:rsidRPr="00CB2981" w:rsidRDefault="00CB2981" w:rsidP="00CB2981">
      <w:pPr>
        <w:rPr>
          <w:rFonts w:cstheme="minorHAnsi"/>
          <w:sz w:val="20"/>
          <w:szCs w:val="20"/>
        </w:rPr>
      </w:pPr>
    </w:p>
    <w:p w:rsidR="00CB2981" w:rsidRDefault="00CB2981" w:rsidP="00CB2981">
      <w:pPr>
        <w:rPr>
          <w:rFonts w:cstheme="minorHAnsi"/>
          <w:sz w:val="20"/>
          <w:szCs w:val="20"/>
        </w:rPr>
      </w:pPr>
      <w:r w:rsidRPr="00CB2981">
        <w:rPr>
          <w:rFonts w:cstheme="minorHAnsi"/>
          <w:sz w:val="20"/>
          <w:szCs w:val="20"/>
        </w:rPr>
        <w:t xml:space="preserve">Las cuentas que han tenido mayor incidencia son: </w:t>
      </w:r>
    </w:p>
    <w:p w:rsidR="00CB2981" w:rsidRPr="00CB2981" w:rsidRDefault="00CB2981" w:rsidP="00CB2981">
      <w:pPr>
        <w:rPr>
          <w:rFonts w:cstheme="minorHAnsi"/>
          <w:sz w:val="20"/>
          <w:szCs w:val="20"/>
        </w:rPr>
      </w:pPr>
    </w:p>
    <w:p w:rsidR="00CB2981" w:rsidRPr="00CB2981" w:rsidRDefault="008D2259" w:rsidP="00CB2981">
      <w:pPr>
        <w:rPr>
          <w:rFonts w:cstheme="minorHAnsi"/>
          <w:sz w:val="20"/>
          <w:szCs w:val="20"/>
        </w:rPr>
      </w:pPr>
      <w:r>
        <w:rPr>
          <w:rFonts w:cstheme="minorHAnsi"/>
          <w:sz w:val="20"/>
          <w:szCs w:val="20"/>
        </w:rPr>
        <w:t xml:space="preserve">• </w:t>
      </w:r>
      <w:r w:rsidR="00CB2981" w:rsidRPr="00CB2981">
        <w:rPr>
          <w:rFonts w:cstheme="minorHAnsi"/>
          <w:sz w:val="20"/>
          <w:szCs w:val="20"/>
        </w:rPr>
        <w:t xml:space="preserve">Arrendamientos. De una apropiación por $3.096 millones, se comprometieron $2.996.2 millones y se realizaron pagos por $761.8 millones que equivalen al 100% de lo obligado.   </w:t>
      </w:r>
    </w:p>
    <w:p w:rsidR="00CB2981" w:rsidRDefault="00CB2981" w:rsidP="008958AE">
      <w:pPr>
        <w:rPr>
          <w:rFonts w:cstheme="minorHAnsi"/>
          <w:sz w:val="20"/>
          <w:szCs w:val="20"/>
        </w:rPr>
      </w:pPr>
      <w:r w:rsidRPr="00CB2981">
        <w:rPr>
          <w:rFonts w:cstheme="minorHAnsi"/>
          <w:sz w:val="20"/>
          <w:szCs w:val="20"/>
        </w:rPr>
        <w:t>•</w:t>
      </w:r>
      <w:r w:rsidR="008D2259">
        <w:rPr>
          <w:rFonts w:cstheme="minorHAnsi"/>
          <w:sz w:val="20"/>
          <w:szCs w:val="20"/>
        </w:rPr>
        <w:t xml:space="preserve"> </w:t>
      </w:r>
      <w:r w:rsidRPr="00CB2981">
        <w:rPr>
          <w:rFonts w:cstheme="minorHAnsi"/>
          <w:sz w:val="20"/>
          <w:szCs w:val="20"/>
        </w:rPr>
        <w:t>Mantenimiento. De $5.673.4 millones de apropiación se ejecutaron $4.317.8 millones y se realizaron pagos por $983.8 millones que equivalen a 100% de lo obligado. Las subcuentas que han generado mayor compromiso son: el servicio de seguridad y vigilancia, mantenimiento de equipo de comunicación y computación y, servicio de aseo.</w:t>
      </w:r>
    </w:p>
    <w:p w:rsidR="00CB2981" w:rsidRPr="00CB2981" w:rsidRDefault="00CB2981" w:rsidP="00CB2981">
      <w:pPr>
        <w:rPr>
          <w:rFonts w:cstheme="minorHAnsi"/>
          <w:sz w:val="20"/>
          <w:szCs w:val="20"/>
        </w:rPr>
      </w:pPr>
      <w:r w:rsidRPr="00CB2981">
        <w:rPr>
          <w:rFonts w:cstheme="minorHAnsi"/>
          <w:sz w:val="20"/>
          <w:szCs w:val="20"/>
        </w:rPr>
        <w:t xml:space="preserve">•Otros Gastos por Adquisición de Servicios. De un total apropiado de $2.710.9 millones, se comprometieron  $1.467.1 millones y se pagaron  $735.7 millones que equivalen al 100% de lo obligado. </w:t>
      </w:r>
    </w:p>
    <w:p w:rsidR="00CB2981" w:rsidRPr="00CB2981" w:rsidRDefault="00CB2981" w:rsidP="00CB2981">
      <w:pPr>
        <w:rPr>
          <w:rFonts w:cstheme="minorHAnsi"/>
          <w:sz w:val="20"/>
          <w:szCs w:val="20"/>
        </w:rPr>
      </w:pPr>
      <w:r w:rsidRPr="00CB2981">
        <w:rPr>
          <w:rFonts w:cstheme="minorHAnsi"/>
          <w:sz w:val="20"/>
          <w:szCs w:val="20"/>
        </w:rPr>
        <w:t>•</w:t>
      </w:r>
      <w:r w:rsidR="008D2259">
        <w:rPr>
          <w:rFonts w:cstheme="minorHAnsi"/>
          <w:sz w:val="20"/>
          <w:szCs w:val="20"/>
        </w:rPr>
        <w:t xml:space="preserve"> </w:t>
      </w:r>
      <w:r w:rsidRPr="00CB2981">
        <w:rPr>
          <w:rFonts w:cstheme="minorHAnsi"/>
          <w:sz w:val="20"/>
          <w:szCs w:val="20"/>
        </w:rPr>
        <w:t xml:space="preserve">Materiales y Suministros. De $2.004 millones apropiados, se comprometieron $708.1 millones  y se realizaron pagos por $4.7 millones que equivalen al 100%  de lo obligado. </w:t>
      </w:r>
    </w:p>
    <w:p w:rsidR="00CB2981" w:rsidRPr="00CB2981" w:rsidRDefault="00CB2981" w:rsidP="00CB2981">
      <w:pPr>
        <w:rPr>
          <w:rFonts w:cstheme="minorHAnsi"/>
          <w:sz w:val="20"/>
          <w:szCs w:val="20"/>
        </w:rPr>
      </w:pPr>
      <w:r w:rsidRPr="00CB2981">
        <w:rPr>
          <w:rFonts w:cstheme="minorHAnsi"/>
          <w:sz w:val="20"/>
          <w:szCs w:val="20"/>
        </w:rPr>
        <w:t>•</w:t>
      </w:r>
      <w:r w:rsidR="008D2259">
        <w:rPr>
          <w:rFonts w:cstheme="minorHAnsi"/>
          <w:sz w:val="20"/>
          <w:szCs w:val="20"/>
        </w:rPr>
        <w:t xml:space="preserve"> </w:t>
      </w:r>
      <w:r w:rsidRPr="00CB2981">
        <w:rPr>
          <w:rFonts w:cstheme="minorHAnsi"/>
          <w:sz w:val="20"/>
          <w:szCs w:val="20"/>
        </w:rPr>
        <w:t xml:space="preserve">Seguros. De $1.239.8 millones de apropiación se ejecutaron $577.6 millones y se realizaron pagos por $198.7 millones que equivalen a 100% de lo obligado. </w:t>
      </w:r>
    </w:p>
    <w:p w:rsidR="00CB2981" w:rsidRPr="00CB2981" w:rsidRDefault="00CB2981" w:rsidP="00CB2981">
      <w:pPr>
        <w:rPr>
          <w:rFonts w:cstheme="minorHAnsi"/>
          <w:sz w:val="20"/>
          <w:szCs w:val="20"/>
        </w:rPr>
      </w:pPr>
      <w:r w:rsidRPr="00CB2981">
        <w:rPr>
          <w:rFonts w:cstheme="minorHAnsi"/>
          <w:sz w:val="20"/>
          <w:szCs w:val="20"/>
        </w:rPr>
        <w:t xml:space="preserve">•Viáticos y Gastos de Viaje. De $358.6 millones apropiados, se realizaron compromisos por $184.3 millones y  se realizaron pagos por $61.2 millones equivalentes al 96.7% de lo obligado. En la subcuenta de viáticos y gastos de viajes al exterior la ejecución fue de $7.7 millones y en viáticos y gastos de viajes al interior $176.5 millones, que incluyen las visitas a las red de estaciones hidrometeorológica y ambiental. </w:t>
      </w:r>
    </w:p>
    <w:p w:rsidR="00CB2981" w:rsidRPr="00CB2981" w:rsidRDefault="00CB2981" w:rsidP="00CB2981">
      <w:pPr>
        <w:rPr>
          <w:rFonts w:cstheme="minorHAnsi"/>
          <w:sz w:val="20"/>
          <w:szCs w:val="20"/>
        </w:rPr>
      </w:pPr>
      <w:r w:rsidRPr="00CB2981">
        <w:rPr>
          <w:rFonts w:cstheme="minorHAnsi"/>
          <w:sz w:val="20"/>
          <w:szCs w:val="20"/>
        </w:rPr>
        <w:t>•</w:t>
      </w:r>
      <w:r w:rsidR="008D2259">
        <w:rPr>
          <w:rFonts w:cstheme="minorHAnsi"/>
          <w:sz w:val="20"/>
          <w:szCs w:val="20"/>
        </w:rPr>
        <w:t xml:space="preserve"> </w:t>
      </w:r>
      <w:r w:rsidRPr="00CB2981">
        <w:rPr>
          <w:rFonts w:cstheme="minorHAnsi"/>
          <w:sz w:val="20"/>
          <w:szCs w:val="20"/>
        </w:rPr>
        <w:t>Comunicaciones y Transporte. De $793.5 millones apropiados se comprometieron $691.5 millones y se pagaron $154.2 millones que equivalen al 100 % de lo obligado.</w:t>
      </w:r>
    </w:p>
    <w:p w:rsidR="00CB2981" w:rsidRPr="00CB2981" w:rsidRDefault="00CB2981" w:rsidP="00CB2981">
      <w:pPr>
        <w:rPr>
          <w:rFonts w:cstheme="minorHAnsi"/>
          <w:sz w:val="20"/>
          <w:szCs w:val="20"/>
        </w:rPr>
      </w:pPr>
      <w:r w:rsidRPr="00CB2981">
        <w:rPr>
          <w:rFonts w:cstheme="minorHAnsi"/>
          <w:sz w:val="20"/>
          <w:szCs w:val="20"/>
        </w:rPr>
        <w:t>•</w:t>
      </w:r>
      <w:r w:rsidR="008D2259">
        <w:rPr>
          <w:rFonts w:cstheme="minorHAnsi"/>
          <w:sz w:val="20"/>
          <w:szCs w:val="20"/>
        </w:rPr>
        <w:t xml:space="preserve"> </w:t>
      </w:r>
      <w:r w:rsidRPr="00CB2981">
        <w:rPr>
          <w:rFonts w:cstheme="minorHAnsi"/>
          <w:sz w:val="20"/>
          <w:szCs w:val="20"/>
        </w:rPr>
        <w:t>Servicios públicos. De $700 millones apropiados, se ejecutaron $156.3 millones, se realizaron pagos $150.3 que equivalen al96.7% de lo obligado. Estos gastos son periódicos y se cancelan mensualmente.</w:t>
      </w:r>
    </w:p>
    <w:p w:rsidR="00CB2981" w:rsidRDefault="00CB2981" w:rsidP="00CB2981">
      <w:pPr>
        <w:rPr>
          <w:rFonts w:cstheme="minorHAnsi"/>
          <w:sz w:val="20"/>
          <w:szCs w:val="20"/>
        </w:rPr>
      </w:pPr>
      <w:r w:rsidRPr="00CB2981">
        <w:rPr>
          <w:rFonts w:cstheme="minorHAnsi"/>
          <w:sz w:val="20"/>
          <w:szCs w:val="20"/>
        </w:rPr>
        <w:t>•</w:t>
      </w:r>
      <w:r w:rsidR="008D2259">
        <w:rPr>
          <w:rFonts w:cstheme="minorHAnsi"/>
          <w:sz w:val="20"/>
          <w:szCs w:val="20"/>
        </w:rPr>
        <w:t xml:space="preserve"> </w:t>
      </w:r>
      <w:r w:rsidRPr="00CB2981">
        <w:rPr>
          <w:rFonts w:cstheme="minorHAnsi"/>
          <w:sz w:val="20"/>
          <w:szCs w:val="20"/>
        </w:rPr>
        <w:t>Capacitación, bienestar social y estímulos. De los $524 millones apropiados se comprometieron $339.7 millones, se realizaron pagos por $258.7 millones que equivalen al 76.1% de los compromisos.</w:t>
      </w:r>
    </w:p>
    <w:p w:rsidR="00D859D9" w:rsidRDefault="00D859D9">
      <w:pPr>
        <w:rPr>
          <w:rFonts w:cstheme="minorHAnsi"/>
          <w:sz w:val="20"/>
          <w:szCs w:val="20"/>
        </w:rPr>
      </w:pPr>
      <w:r>
        <w:rPr>
          <w:rFonts w:cstheme="minorHAnsi"/>
          <w:sz w:val="20"/>
          <w:szCs w:val="20"/>
        </w:rPr>
        <w:br w:type="page"/>
      </w:r>
    </w:p>
    <w:p w:rsidR="00CB2981" w:rsidRPr="00CB2981" w:rsidRDefault="00CB2981" w:rsidP="00CB2981">
      <w:pPr>
        <w:rPr>
          <w:rFonts w:cstheme="minorHAnsi"/>
          <w:sz w:val="20"/>
          <w:szCs w:val="20"/>
        </w:rPr>
      </w:pPr>
    </w:p>
    <w:p w:rsidR="00CB2981" w:rsidRDefault="00CB2981" w:rsidP="00CB2981">
      <w:pPr>
        <w:rPr>
          <w:rFonts w:cstheme="minorHAnsi"/>
          <w:sz w:val="20"/>
          <w:szCs w:val="20"/>
        </w:rPr>
      </w:pPr>
    </w:p>
    <w:p w:rsidR="00475592" w:rsidRDefault="00475592" w:rsidP="00475592">
      <w:pPr>
        <w:rPr>
          <w:rFonts w:cstheme="minorHAnsi"/>
          <w:sz w:val="20"/>
          <w:szCs w:val="20"/>
        </w:rPr>
      </w:pPr>
      <w:r w:rsidRPr="005C154A">
        <w:rPr>
          <w:noProof/>
          <w:lang w:eastAsia="es-CO"/>
        </w:rPr>
        <w:drawing>
          <wp:inline distT="0" distB="0" distL="0" distR="0" wp14:anchorId="55DAEFB2" wp14:editId="4B2A6C9C">
            <wp:extent cx="5667375" cy="7210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4712" cy="7219760"/>
                    </a:xfrm>
                    <a:prstGeom prst="rect">
                      <a:avLst/>
                    </a:prstGeom>
                    <a:noFill/>
                    <a:ln>
                      <a:noFill/>
                    </a:ln>
                  </pic:spPr>
                </pic:pic>
              </a:graphicData>
            </a:graphic>
          </wp:inline>
        </w:drawing>
      </w:r>
    </w:p>
    <w:p w:rsidR="00475592" w:rsidRDefault="00475592">
      <w:pPr>
        <w:spacing w:after="160" w:line="259" w:lineRule="auto"/>
        <w:rPr>
          <w:rFonts w:cstheme="minorHAnsi"/>
          <w:sz w:val="20"/>
          <w:szCs w:val="20"/>
        </w:rPr>
      </w:pPr>
      <w:r>
        <w:rPr>
          <w:rFonts w:cstheme="minorHAnsi"/>
          <w:sz w:val="20"/>
          <w:szCs w:val="20"/>
        </w:rPr>
        <w:br w:type="page"/>
      </w:r>
    </w:p>
    <w:p w:rsidR="00475592" w:rsidRDefault="00475592" w:rsidP="00475592">
      <w:pPr>
        <w:tabs>
          <w:tab w:val="left" w:pos="2835"/>
        </w:tabs>
        <w:jc w:val="both"/>
        <w:rPr>
          <w:rFonts w:cstheme="minorHAnsi"/>
          <w:sz w:val="20"/>
          <w:szCs w:val="20"/>
        </w:rPr>
      </w:pPr>
      <w:r w:rsidRPr="005C154A">
        <w:rPr>
          <w:noProof/>
          <w:lang w:eastAsia="es-CO"/>
        </w:rPr>
        <w:lastRenderedPageBreak/>
        <w:drawing>
          <wp:inline distT="0" distB="0" distL="0" distR="0" wp14:anchorId="35957A8F" wp14:editId="428B8A47">
            <wp:extent cx="6150446" cy="6153150"/>
            <wp:effectExtent l="0" t="0" r="317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3150" cy="6155855"/>
                    </a:xfrm>
                    <a:prstGeom prst="rect">
                      <a:avLst/>
                    </a:prstGeom>
                    <a:noFill/>
                    <a:ln>
                      <a:noFill/>
                    </a:ln>
                  </pic:spPr>
                </pic:pic>
              </a:graphicData>
            </a:graphic>
          </wp:inline>
        </w:drawing>
      </w:r>
    </w:p>
    <w:p w:rsidR="00475592" w:rsidRDefault="00475592" w:rsidP="00475592">
      <w:pPr>
        <w:tabs>
          <w:tab w:val="left" w:pos="2835"/>
        </w:tabs>
        <w:jc w:val="both"/>
        <w:rPr>
          <w:rFonts w:cstheme="minorHAnsi"/>
          <w:sz w:val="16"/>
          <w:szCs w:val="20"/>
        </w:rPr>
      </w:pPr>
      <w:r w:rsidRPr="006D57CE">
        <w:rPr>
          <w:rFonts w:cstheme="minorHAnsi"/>
          <w:sz w:val="16"/>
          <w:szCs w:val="20"/>
        </w:rPr>
        <w:t>FUENTE: SIIF NACION II</w:t>
      </w:r>
      <w:r>
        <w:rPr>
          <w:rFonts w:cstheme="minorHAnsi"/>
          <w:sz w:val="16"/>
          <w:szCs w:val="20"/>
        </w:rPr>
        <w:t xml:space="preserve"> </w:t>
      </w:r>
      <w:r w:rsidRPr="006D57CE">
        <w:rPr>
          <w:rFonts w:cstheme="minorHAnsi"/>
          <w:sz w:val="16"/>
          <w:szCs w:val="20"/>
        </w:rPr>
        <w:t xml:space="preserve"> Oficina Asesora de Planeación</w:t>
      </w:r>
    </w:p>
    <w:p w:rsidR="001B351F" w:rsidRPr="007B7871" w:rsidRDefault="001B351F" w:rsidP="001B351F">
      <w:pPr>
        <w:pStyle w:val="Prrafodelista"/>
        <w:numPr>
          <w:ilvl w:val="0"/>
          <w:numId w:val="1"/>
        </w:numPr>
        <w:rPr>
          <w:rFonts w:cstheme="minorHAnsi"/>
          <w:sz w:val="20"/>
          <w:szCs w:val="20"/>
        </w:rPr>
      </w:pPr>
      <w:r w:rsidRPr="007B7871">
        <w:rPr>
          <w:rFonts w:cstheme="minorHAnsi"/>
          <w:sz w:val="20"/>
          <w:szCs w:val="20"/>
        </w:rPr>
        <w:t>Transferencias</w:t>
      </w:r>
    </w:p>
    <w:p w:rsidR="00F75C45" w:rsidRDefault="00F75C45" w:rsidP="001B351F">
      <w:pPr>
        <w:jc w:val="both"/>
        <w:rPr>
          <w:rFonts w:cstheme="minorHAnsi"/>
          <w:sz w:val="20"/>
          <w:szCs w:val="20"/>
        </w:rPr>
      </w:pPr>
    </w:p>
    <w:p w:rsidR="001B351F" w:rsidRDefault="001B351F" w:rsidP="001B351F">
      <w:pPr>
        <w:jc w:val="both"/>
        <w:rPr>
          <w:rFonts w:cstheme="minorHAnsi"/>
          <w:sz w:val="20"/>
          <w:szCs w:val="20"/>
        </w:rPr>
      </w:pPr>
      <w:r w:rsidRPr="00CB2981">
        <w:rPr>
          <w:rFonts w:cstheme="minorHAnsi"/>
          <w:sz w:val="20"/>
          <w:szCs w:val="20"/>
        </w:rPr>
        <w:t>La apropiación por</w:t>
      </w:r>
      <w:r w:rsidR="001C05CB">
        <w:rPr>
          <w:rFonts w:cstheme="minorHAnsi"/>
          <w:sz w:val="20"/>
          <w:szCs w:val="20"/>
        </w:rPr>
        <w:t xml:space="preserve"> $599.9 millones, no se afectó en </w:t>
      </w:r>
      <w:r w:rsidRPr="00CB2981">
        <w:rPr>
          <w:rFonts w:cstheme="minorHAnsi"/>
          <w:sz w:val="20"/>
          <w:szCs w:val="20"/>
        </w:rPr>
        <w:t xml:space="preserve">este período, dado que los recursos para transferir a la Contraloría General de la República no han tenido modificación y está pendiente la presentación de la cuenta del Instituto Interamericano para la Investigación del Cambio Global- IAI. La apropiación para cubrir sentencias y conciliaciones no tuvo movimiento.  </w:t>
      </w:r>
    </w:p>
    <w:p w:rsidR="001B351F" w:rsidRDefault="001B351F" w:rsidP="001B351F">
      <w:pPr>
        <w:rPr>
          <w:rFonts w:cstheme="minorHAnsi"/>
          <w:sz w:val="20"/>
          <w:szCs w:val="20"/>
        </w:rPr>
      </w:pPr>
    </w:p>
    <w:p w:rsidR="00475592" w:rsidRDefault="00475592" w:rsidP="00CB2981">
      <w:pPr>
        <w:rPr>
          <w:rFonts w:cstheme="minorHAnsi"/>
          <w:sz w:val="20"/>
          <w:szCs w:val="20"/>
        </w:rPr>
      </w:pPr>
    </w:p>
    <w:p w:rsidR="00475592" w:rsidRPr="007B7871" w:rsidRDefault="007B7871" w:rsidP="007B7871">
      <w:pPr>
        <w:pStyle w:val="Ttulo1"/>
      </w:pPr>
      <w:bookmarkStart w:id="7" w:name="_Toc482971098"/>
      <w:r w:rsidRPr="007B7871">
        <w:lastRenderedPageBreak/>
        <w:t>I</w:t>
      </w:r>
      <w:r w:rsidR="00475592" w:rsidRPr="007B7871">
        <w:t>nversión</w:t>
      </w:r>
      <w:bookmarkEnd w:id="7"/>
    </w:p>
    <w:p w:rsidR="00475592" w:rsidRPr="00475592" w:rsidRDefault="00475592" w:rsidP="00475592">
      <w:pPr>
        <w:rPr>
          <w:rFonts w:cstheme="minorHAnsi"/>
          <w:sz w:val="20"/>
          <w:szCs w:val="20"/>
        </w:rPr>
      </w:pPr>
    </w:p>
    <w:p w:rsidR="00475592" w:rsidRDefault="00475592" w:rsidP="00475592">
      <w:pPr>
        <w:rPr>
          <w:rFonts w:cstheme="minorHAnsi"/>
          <w:sz w:val="20"/>
          <w:szCs w:val="20"/>
        </w:rPr>
      </w:pPr>
    </w:p>
    <w:p w:rsidR="00475592" w:rsidRPr="00475592" w:rsidRDefault="00475592" w:rsidP="00475592">
      <w:pPr>
        <w:rPr>
          <w:rFonts w:cstheme="minorHAnsi"/>
          <w:sz w:val="20"/>
          <w:szCs w:val="20"/>
        </w:rPr>
      </w:pPr>
      <w:r w:rsidRPr="00475592">
        <w:rPr>
          <w:rFonts w:cstheme="minorHAnsi"/>
          <w:sz w:val="20"/>
          <w:szCs w:val="20"/>
        </w:rPr>
        <w:t xml:space="preserve">El proyecto de inversión Fortalecimiento de la Gestión del conocimiento, Hidrológico, Meteorológico, Ambiental y  Climático  cuenta con una apropiación de $ 27.014.3 millones. </w:t>
      </w:r>
    </w:p>
    <w:p w:rsidR="00475592" w:rsidRPr="00475592" w:rsidRDefault="00475592" w:rsidP="00475592">
      <w:pPr>
        <w:rPr>
          <w:rFonts w:cstheme="minorHAnsi"/>
          <w:sz w:val="20"/>
          <w:szCs w:val="20"/>
        </w:rPr>
      </w:pPr>
    </w:p>
    <w:p w:rsidR="00475592" w:rsidRPr="00475592" w:rsidRDefault="00684A9A" w:rsidP="00475592">
      <w:pPr>
        <w:rPr>
          <w:rFonts w:cstheme="minorHAnsi"/>
          <w:sz w:val="20"/>
          <w:szCs w:val="20"/>
        </w:rPr>
      </w:pPr>
      <w:r>
        <w:rPr>
          <w:rFonts w:cstheme="minorHAnsi"/>
          <w:sz w:val="20"/>
          <w:szCs w:val="20"/>
        </w:rPr>
        <w:t xml:space="preserve">En el </w:t>
      </w:r>
      <w:bookmarkStart w:id="8" w:name="_GoBack"/>
      <w:bookmarkEnd w:id="8"/>
      <w:r w:rsidR="00475592" w:rsidRPr="00475592">
        <w:rPr>
          <w:rFonts w:cstheme="minorHAnsi"/>
          <w:sz w:val="20"/>
          <w:szCs w:val="20"/>
        </w:rPr>
        <w:t>período de informe se realizaron compromisos por $14.010.9 millones (46.2% de la asignación) y pagos por $996.6 millones equivalentes al 7.11% de los compromisos.</w:t>
      </w:r>
    </w:p>
    <w:p w:rsidR="00475592" w:rsidRPr="007B7871" w:rsidRDefault="00475592" w:rsidP="007B7871">
      <w:pPr>
        <w:pStyle w:val="Ttulo2"/>
      </w:pPr>
      <w:bookmarkStart w:id="9" w:name="_Toc482971099"/>
      <w:r w:rsidRPr="007B7871">
        <w:t>Inversión Aportes Nación (Recurso 11):</w:t>
      </w:r>
      <w:bookmarkEnd w:id="9"/>
    </w:p>
    <w:p w:rsidR="00475592" w:rsidRPr="00475592" w:rsidRDefault="00475592" w:rsidP="00475592">
      <w:pPr>
        <w:rPr>
          <w:rFonts w:cstheme="minorHAnsi"/>
          <w:sz w:val="20"/>
          <w:szCs w:val="20"/>
        </w:rPr>
      </w:pPr>
    </w:p>
    <w:p w:rsidR="00475592" w:rsidRPr="00475592" w:rsidRDefault="00475592" w:rsidP="00475592">
      <w:pPr>
        <w:rPr>
          <w:rFonts w:cstheme="minorHAnsi"/>
          <w:sz w:val="20"/>
          <w:szCs w:val="20"/>
        </w:rPr>
      </w:pPr>
      <w:r w:rsidRPr="00475592">
        <w:rPr>
          <w:rFonts w:cstheme="minorHAnsi"/>
          <w:sz w:val="20"/>
          <w:szCs w:val="20"/>
        </w:rPr>
        <w:t xml:space="preserve">En aporte nación de $20.704.1 millones, se comprometieron $10.978.3 millones y se realizaron pagos por $608.6 millones.  </w:t>
      </w:r>
    </w:p>
    <w:p w:rsidR="00475592" w:rsidRDefault="00475592" w:rsidP="00475592">
      <w:pPr>
        <w:rPr>
          <w:rFonts w:cstheme="minorHAnsi"/>
          <w:sz w:val="20"/>
          <w:szCs w:val="20"/>
        </w:rPr>
      </w:pPr>
      <w:r w:rsidRPr="00475592">
        <w:rPr>
          <w:rFonts w:cstheme="minorHAnsi"/>
          <w:sz w:val="20"/>
          <w:szCs w:val="20"/>
        </w:rPr>
        <w:t>Se espera que en el próximo trimestre  las dependencias aceleren la ejecución y se paguen los recursos.</w:t>
      </w:r>
    </w:p>
    <w:p w:rsidR="00475592" w:rsidRDefault="001B351F" w:rsidP="00CB2981">
      <w:pPr>
        <w:rPr>
          <w:rFonts w:cstheme="minorHAnsi"/>
          <w:sz w:val="20"/>
          <w:szCs w:val="20"/>
        </w:rPr>
      </w:pPr>
      <w:r w:rsidRPr="00051D9B">
        <w:rPr>
          <w:noProof/>
          <w:lang w:eastAsia="es-CO"/>
        </w:rPr>
        <w:drawing>
          <wp:inline distT="0" distB="0" distL="0" distR="0" wp14:anchorId="6E16B646" wp14:editId="785B8CF1">
            <wp:extent cx="5610225" cy="30765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3077620"/>
                    </a:xfrm>
                    <a:prstGeom prst="rect">
                      <a:avLst/>
                    </a:prstGeom>
                    <a:noFill/>
                    <a:ln>
                      <a:noFill/>
                    </a:ln>
                  </pic:spPr>
                </pic:pic>
              </a:graphicData>
            </a:graphic>
          </wp:inline>
        </w:drawing>
      </w:r>
    </w:p>
    <w:p w:rsidR="004725D6" w:rsidRPr="004725D6" w:rsidRDefault="004725D6" w:rsidP="004725D6">
      <w:pPr>
        <w:pStyle w:val="Ttulo2"/>
      </w:pPr>
      <w:bookmarkStart w:id="10" w:name="_Toc482971100"/>
      <w:r w:rsidRPr="004725D6">
        <w:t>Inversión Recursos Propios (Recurso 20 y 21):</w:t>
      </w:r>
      <w:bookmarkEnd w:id="10"/>
    </w:p>
    <w:p w:rsidR="004725D6" w:rsidRDefault="004725D6" w:rsidP="004725D6">
      <w:pPr>
        <w:rPr>
          <w:rFonts w:cstheme="minorHAnsi"/>
          <w:sz w:val="20"/>
          <w:szCs w:val="20"/>
        </w:rPr>
      </w:pPr>
    </w:p>
    <w:p w:rsidR="00475592" w:rsidRDefault="004725D6" w:rsidP="004725D6">
      <w:pPr>
        <w:rPr>
          <w:rFonts w:cstheme="minorHAnsi"/>
          <w:sz w:val="20"/>
          <w:szCs w:val="20"/>
        </w:rPr>
      </w:pPr>
      <w:r w:rsidRPr="004725D6">
        <w:rPr>
          <w:rFonts w:cstheme="minorHAnsi"/>
          <w:sz w:val="20"/>
          <w:szCs w:val="20"/>
        </w:rPr>
        <w:t>De una apropiación disponible por $3.574.6 millones (</w:t>
      </w:r>
      <w:proofErr w:type="spellStart"/>
      <w:r w:rsidRPr="004725D6">
        <w:rPr>
          <w:rFonts w:cstheme="minorHAnsi"/>
          <w:sz w:val="20"/>
          <w:szCs w:val="20"/>
        </w:rPr>
        <w:t>rec.</w:t>
      </w:r>
      <w:proofErr w:type="spellEnd"/>
      <w:r w:rsidRPr="004725D6">
        <w:rPr>
          <w:rFonts w:cstheme="minorHAnsi"/>
          <w:sz w:val="20"/>
          <w:szCs w:val="20"/>
        </w:rPr>
        <w:t xml:space="preserve"> 20), se realizaron compromisos por $1.533.7.3 millones y pagos por $234.1 millones equivalentes al 15.3% de lo comprometido. Del </w:t>
      </w:r>
      <w:proofErr w:type="spellStart"/>
      <w:r w:rsidRPr="004725D6">
        <w:rPr>
          <w:rFonts w:cstheme="minorHAnsi"/>
          <w:sz w:val="20"/>
          <w:szCs w:val="20"/>
        </w:rPr>
        <w:t>rec.</w:t>
      </w:r>
      <w:proofErr w:type="spellEnd"/>
      <w:r w:rsidRPr="004725D6">
        <w:rPr>
          <w:rFonts w:cstheme="minorHAnsi"/>
          <w:sz w:val="20"/>
          <w:szCs w:val="20"/>
        </w:rPr>
        <w:t xml:space="preserve"> 21 se comprometieron $1.498.9 millones y se realizaron pagos por $153.9 millones, equivalentes al 10.2 % de lo comprometido.</w:t>
      </w:r>
    </w:p>
    <w:p w:rsidR="004725D6" w:rsidRDefault="004725D6" w:rsidP="004725D6">
      <w:pPr>
        <w:rPr>
          <w:rFonts w:cstheme="minorHAnsi"/>
          <w:sz w:val="20"/>
          <w:szCs w:val="20"/>
        </w:rPr>
      </w:pPr>
    </w:p>
    <w:p w:rsidR="004725D6" w:rsidRDefault="004725D6" w:rsidP="004725D6">
      <w:pPr>
        <w:rPr>
          <w:rFonts w:cstheme="minorHAnsi"/>
          <w:sz w:val="20"/>
          <w:szCs w:val="20"/>
        </w:rPr>
      </w:pPr>
      <w:r w:rsidRPr="007373C0">
        <w:rPr>
          <w:noProof/>
          <w:lang w:eastAsia="es-CO"/>
        </w:rPr>
        <w:lastRenderedPageBreak/>
        <w:drawing>
          <wp:inline distT="0" distB="0" distL="0" distR="0" wp14:anchorId="7E44A6D2" wp14:editId="2AC0CF1C">
            <wp:extent cx="6143625" cy="43053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3150" cy="4311975"/>
                    </a:xfrm>
                    <a:prstGeom prst="rect">
                      <a:avLst/>
                    </a:prstGeom>
                    <a:noFill/>
                    <a:ln>
                      <a:noFill/>
                    </a:ln>
                  </pic:spPr>
                </pic:pic>
              </a:graphicData>
            </a:graphic>
          </wp:inline>
        </w:drawing>
      </w:r>
    </w:p>
    <w:p w:rsidR="004725D6" w:rsidRDefault="004725D6" w:rsidP="004725D6">
      <w:pPr>
        <w:rPr>
          <w:rFonts w:cstheme="minorHAnsi"/>
          <w:sz w:val="16"/>
          <w:szCs w:val="20"/>
        </w:rPr>
      </w:pPr>
      <w:r>
        <w:rPr>
          <w:rFonts w:cstheme="minorHAnsi"/>
          <w:sz w:val="16"/>
          <w:szCs w:val="20"/>
        </w:rPr>
        <w:t>FU</w:t>
      </w:r>
      <w:r w:rsidRPr="002A4F74">
        <w:rPr>
          <w:rFonts w:cstheme="minorHAnsi"/>
          <w:sz w:val="16"/>
          <w:szCs w:val="20"/>
        </w:rPr>
        <w:t>ENTE: Oficina Asesora de Planeación</w:t>
      </w:r>
    </w:p>
    <w:p w:rsidR="004725D6" w:rsidRPr="00F10B4B" w:rsidRDefault="00FB14D5" w:rsidP="00F10B4B">
      <w:pPr>
        <w:pStyle w:val="Ttulo1"/>
      </w:pPr>
      <w:bookmarkStart w:id="11" w:name="_Toc482971101"/>
      <w:r w:rsidRPr="00F10B4B">
        <w:t>Ejecución rezago presupuestal</w:t>
      </w:r>
      <w:bookmarkEnd w:id="11"/>
    </w:p>
    <w:p w:rsidR="004725D6" w:rsidRPr="004725D6" w:rsidRDefault="004725D6" w:rsidP="004725D6">
      <w:pPr>
        <w:rPr>
          <w:rFonts w:cstheme="minorHAnsi"/>
          <w:sz w:val="20"/>
          <w:szCs w:val="20"/>
        </w:rPr>
      </w:pPr>
    </w:p>
    <w:p w:rsidR="004725D6" w:rsidRPr="004725D6" w:rsidRDefault="004725D6" w:rsidP="00FB14D5">
      <w:pPr>
        <w:pStyle w:val="Ttulo2"/>
      </w:pPr>
      <w:bookmarkStart w:id="12" w:name="_Toc482971102"/>
      <w:r w:rsidRPr="004725D6">
        <w:t>Reservas Presupuestales</w:t>
      </w:r>
      <w:bookmarkEnd w:id="12"/>
    </w:p>
    <w:p w:rsidR="00FB14D5" w:rsidRDefault="00FB14D5" w:rsidP="004725D6">
      <w:pPr>
        <w:rPr>
          <w:rFonts w:cstheme="minorHAnsi"/>
          <w:sz w:val="20"/>
          <w:szCs w:val="20"/>
        </w:rPr>
      </w:pPr>
    </w:p>
    <w:p w:rsidR="00475592" w:rsidRDefault="004725D6" w:rsidP="004725D6">
      <w:pPr>
        <w:rPr>
          <w:rFonts w:cstheme="minorHAnsi"/>
          <w:sz w:val="20"/>
          <w:szCs w:val="20"/>
        </w:rPr>
      </w:pPr>
      <w:r w:rsidRPr="004725D6">
        <w:rPr>
          <w:rFonts w:cstheme="minorHAnsi"/>
          <w:sz w:val="20"/>
          <w:szCs w:val="20"/>
        </w:rPr>
        <w:t>Las reservas constituidas a 31 de diciembre de 2016 por  $737.8 millones  no tu</w:t>
      </w:r>
      <w:r w:rsidR="00F75C45">
        <w:rPr>
          <w:rFonts w:cstheme="minorHAnsi"/>
          <w:sz w:val="20"/>
          <w:szCs w:val="20"/>
        </w:rPr>
        <w:t>vieron afectación en este perío</w:t>
      </w:r>
      <w:r w:rsidRPr="004725D6">
        <w:rPr>
          <w:rFonts w:cstheme="minorHAnsi"/>
          <w:sz w:val="20"/>
          <w:szCs w:val="20"/>
        </w:rPr>
        <w:t>do de informe, tal como se aprecia en el siguiente cuadro.</w:t>
      </w:r>
    </w:p>
    <w:p w:rsidR="004725D6" w:rsidRDefault="004725D6" w:rsidP="00CB2981">
      <w:pPr>
        <w:rPr>
          <w:rFonts w:cstheme="minorHAnsi"/>
          <w:sz w:val="20"/>
          <w:szCs w:val="20"/>
        </w:rPr>
      </w:pPr>
    </w:p>
    <w:p w:rsidR="004725D6" w:rsidRDefault="00FB14D5" w:rsidP="00CB2981">
      <w:pPr>
        <w:rPr>
          <w:rFonts w:cstheme="minorHAnsi"/>
          <w:sz w:val="20"/>
          <w:szCs w:val="20"/>
        </w:rPr>
      </w:pPr>
      <w:r w:rsidRPr="008F78A3">
        <w:rPr>
          <w:noProof/>
          <w:lang w:eastAsia="es-CO"/>
        </w:rPr>
        <w:lastRenderedPageBreak/>
        <w:drawing>
          <wp:inline distT="0" distB="0" distL="0" distR="0" wp14:anchorId="41D632B9" wp14:editId="5164BCF8">
            <wp:extent cx="5572125" cy="5676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4030" cy="5678841"/>
                    </a:xfrm>
                    <a:prstGeom prst="rect">
                      <a:avLst/>
                    </a:prstGeom>
                    <a:noFill/>
                    <a:ln>
                      <a:noFill/>
                    </a:ln>
                  </pic:spPr>
                </pic:pic>
              </a:graphicData>
            </a:graphic>
          </wp:inline>
        </w:drawing>
      </w:r>
    </w:p>
    <w:p w:rsidR="00FB14D5" w:rsidRDefault="00FB14D5" w:rsidP="00CB2981">
      <w:pPr>
        <w:rPr>
          <w:rFonts w:cstheme="minorHAnsi"/>
          <w:sz w:val="20"/>
          <w:szCs w:val="20"/>
        </w:rPr>
      </w:pPr>
    </w:p>
    <w:p w:rsidR="00FB14D5" w:rsidRDefault="00FB14D5" w:rsidP="00CB2981">
      <w:pPr>
        <w:rPr>
          <w:rFonts w:cstheme="minorHAnsi"/>
          <w:sz w:val="20"/>
          <w:szCs w:val="20"/>
        </w:rPr>
      </w:pPr>
    </w:p>
    <w:p w:rsidR="007B7871" w:rsidRDefault="007B7871" w:rsidP="00CB2981">
      <w:pPr>
        <w:rPr>
          <w:rFonts w:cstheme="minorHAnsi"/>
          <w:sz w:val="20"/>
          <w:szCs w:val="20"/>
        </w:rPr>
      </w:pPr>
    </w:p>
    <w:p w:rsidR="0010544D" w:rsidRDefault="0010544D" w:rsidP="00CB2981">
      <w:pPr>
        <w:rPr>
          <w:rFonts w:cstheme="minorHAnsi"/>
          <w:sz w:val="20"/>
          <w:szCs w:val="20"/>
        </w:rPr>
      </w:pPr>
    </w:p>
    <w:p w:rsidR="0010544D" w:rsidRDefault="0010544D" w:rsidP="00CB2981">
      <w:pPr>
        <w:rPr>
          <w:rFonts w:cstheme="minorHAnsi"/>
          <w:sz w:val="20"/>
          <w:szCs w:val="20"/>
        </w:rPr>
      </w:pPr>
    </w:p>
    <w:p w:rsidR="0010544D" w:rsidRDefault="0010544D" w:rsidP="00CB2981">
      <w:pPr>
        <w:rPr>
          <w:rFonts w:cstheme="minorHAnsi"/>
          <w:sz w:val="20"/>
          <w:szCs w:val="20"/>
        </w:rPr>
      </w:pPr>
    </w:p>
    <w:p w:rsidR="0010544D" w:rsidRDefault="0010544D" w:rsidP="00CB2981">
      <w:pPr>
        <w:rPr>
          <w:rFonts w:cstheme="minorHAnsi"/>
          <w:sz w:val="20"/>
          <w:szCs w:val="20"/>
        </w:rPr>
      </w:pPr>
    </w:p>
    <w:p w:rsidR="0010544D" w:rsidRDefault="0010544D" w:rsidP="00CB2981">
      <w:pPr>
        <w:rPr>
          <w:rFonts w:cstheme="minorHAnsi"/>
          <w:sz w:val="20"/>
          <w:szCs w:val="20"/>
        </w:rPr>
      </w:pPr>
    </w:p>
    <w:p w:rsidR="0010544D" w:rsidRDefault="0010544D" w:rsidP="00CB2981">
      <w:pPr>
        <w:rPr>
          <w:rFonts w:cstheme="minorHAnsi"/>
          <w:sz w:val="20"/>
          <w:szCs w:val="20"/>
        </w:rPr>
      </w:pPr>
    </w:p>
    <w:p w:rsidR="0010544D" w:rsidRDefault="0010544D" w:rsidP="00CB2981">
      <w:pPr>
        <w:rPr>
          <w:rFonts w:cstheme="minorHAnsi"/>
          <w:sz w:val="20"/>
          <w:szCs w:val="20"/>
        </w:rPr>
      </w:pPr>
    </w:p>
    <w:p w:rsidR="0010544D" w:rsidRDefault="0010544D" w:rsidP="00CB2981">
      <w:pPr>
        <w:rPr>
          <w:rFonts w:cstheme="minorHAnsi"/>
          <w:sz w:val="20"/>
          <w:szCs w:val="20"/>
        </w:rPr>
      </w:pPr>
    </w:p>
    <w:p w:rsidR="00FB14D5" w:rsidRPr="00FB14D5" w:rsidRDefault="00FB14D5" w:rsidP="00FB14D5">
      <w:pPr>
        <w:pStyle w:val="Ttulo2"/>
      </w:pPr>
      <w:bookmarkStart w:id="13" w:name="_Toc482971103"/>
      <w:r w:rsidRPr="00FB14D5">
        <w:t>Cuentas por Pagar</w:t>
      </w:r>
      <w:bookmarkEnd w:id="13"/>
    </w:p>
    <w:p w:rsidR="00FB14D5" w:rsidRPr="00FB14D5" w:rsidRDefault="00FB14D5" w:rsidP="00FB14D5">
      <w:pPr>
        <w:rPr>
          <w:rFonts w:cstheme="minorHAnsi"/>
          <w:sz w:val="20"/>
          <w:szCs w:val="20"/>
        </w:rPr>
      </w:pPr>
      <w:r w:rsidRPr="00FB14D5">
        <w:rPr>
          <w:rFonts w:cstheme="minorHAnsi"/>
          <w:sz w:val="20"/>
          <w:szCs w:val="20"/>
        </w:rPr>
        <w:t xml:space="preserve"> </w:t>
      </w:r>
    </w:p>
    <w:p w:rsidR="00FB14D5" w:rsidRDefault="00FB14D5" w:rsidP="00FB14D5">
      <w:pPr>
        <w:rPr>
          <w:rFonts w:cstheme="minorHAnsi"/>
          <w:sz w:val="20"/>
          <w:szCs w:val="20"/>
        </w:rPr>
      </w:pPr>
      <w:r w:rsidRPr="00FB14D5">
        <w:rPr>
          <w:rFonts w:cstheme="minorHAnsi"/>
          <w:sz w:val="20"/>
          <w:szCs w:val="20"/>
        </w:rPr>
        <w:t>De $4.641.5 millones de cuentas por pagar constituidas a diciembre de 2016 se canceló el 100% en el pasado trimestre.</w:t>
      </w:r>
    </w:p>
    <w:p w:rsidR="00FB14D5" w:rsidRDefault="00FB14D5" w:rsidP="00FB14D5">
      <w:pPr>
        <w:rPr>
          <w:rFonts w:cstheme="minorHAnsi"/>
          <w:sz w:val="20"/>
          <w:szCs w:val="20"/>
        </w:rPr>
      </w:pPr>
    </w:p>
    <w:p w:rsidR="00FB14D5" w:rsidRDefault="00FB14D5" w:rsidP="00FB14D5">
      <w:pPr>
        <w:rPr>
          <w:rFonts w:cstheme="minorHAnsi"/>
          <w:sz w:val="20"/>
          <w:szCs w:val="20"/>
        </w:rPr>
      </w:pPr>
    </w:p>
    <w:p w:rsidR="00FB14D5" w:rsidRDefault="00FB14D5" w:rsidP="00FB14D5">
      <w:pPr>
        <w:rPr>
          <w:rFonts w:cstheme="minorHAnsi"/>
          <w:sz w:val="20"/>
          <w:szCs w:val="20"/>
        </w:rPr>
      </w:pPr>
      <w:r w:rsidRPr="00302BC8">
        <w:rPr>
          <w:noProof/>
          <w:lang w:eastAsia="es-CO"/>
        </w:rPr>
        <w:drawing>
          <wp:inline distT="0" distB="0" distL="0" distR="0" wp14:anchorId="20B2672A" wp14:editId="772C6D67">
            <wp:extent cx="5607444" cy="6219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6225022"/>
                    </a:xfrm>
                    <a:prstGeom prst="rect">
                      <a:avLst/>
                    </a:prstGeom>
                    <a:noFill/>
                    <a:ln>
                      <a:noFill/>
                    </a:ln>
                  </pic:spPr>
                </pic:pic>
              </a:graphicData>
            </a:graphic>
          </wp:inline>
        </w:drawing>
      </w:r>
    </w:p>
    <w:p w:rsidR="00FB14D5" w:rsidRDefault="00FB14D5" w:rsidP="00FB14D5">
      <w:pPr>
        <w:rPr>
          <w:rFonts w:cstheme="minorHAnsi"/>
          <w:sz w:val="20"/>
          <w:szCs w:val="20"/>
        </w:rPr>
      </w:pPr>
    </w:p>
    <w:p w:rsidR="00234CF1" w:rsidRPr="00234CF1" w:rsidRDefault="00234CF1" w:rsidP="00234CF1">
      <w:pPr>
        <w:pStyle w:val="Ttulo1"/>
      </w:pPr>
      <w:bookmarkStart w:id="14" w:name="_Toc482971104"/>
      <w:r>
        <w:lastRenderedPageBreak/>
        <w:t>A</w:t>
      </w:r>
      <w:r w:rsidRPr="00234CF1">
        <w:t>cciones tomadas</w:t>
      </w:r>
      <w:bookmarkEnd w:id="14"/>
    </w:p>
    <w:p w:rsidR="00234CF1" w:rsidRPr="00234CF1" w:rsidRDefault="00234CF1" w:rsidP="00234CF1">
      <w:pPr>
        <w:rPr>
          <w:rFonts w:cstheme="minorHAnsi"/>
          <w:sz w:val="20"/>
          <w:szCs w:val="20"/>
        </w:rPr>
      </w:pPr>
    </w:p>
    <w:p w:rsidR="00234CF1" w:rsidRPr="00234CF1" w:rsidRDefault="00234CF1" w:rsidP="00234CF1">
      <w:pPr>
        <w:rPr>
          <w:rFonts w:cstheme="minorHAnsi"/>
          <w:sz w:val="20"/>
          <w:szCs w:val="20"/>
        </w:rPr>
      </w:pPr>
      <w:r w:rsidRPr="00234CF1">
        <w:rPr>
          <w:rFonts w:cstheme="minorHAnsi"/>
          <w:sz w:val="20"/>
          <w:szCs w:val="20"/>
        </w:rPr>
        <w:t xml:space="preserve">Se dio cumplimiento al artículo 104 de la Ley 1815 de diciembre 7 de 2016  sobre PLAN DE AUSTERIDAD DEL GASTO. </w:t>
      </w:r>
    </w:p>
    <w:p w:rsidR="00234CF1" w:rsidRDefault="00234CF1" w:rsidP="00234CF1">
      <w:pPr>
        <w:rPr>
          <w:rFonts w:cstheme="minorHAnsi"/>
          <w:sz w:val="20"/>
          <w:szCs w:val="20"/>
        </w:rPr>
      </w:pPr>
      <w:r w:rsidRPr="00234CF1">
        <w:rPr>
          <w:rFonts w:cstheme="minorHAnsi"/>
          <w:sz w:val="20"/>
          <w:szCs w:val="20"/>
        </w:rPr>
        <w:t xml:space="preserve">Durante la vigencia fiscal de 2017, los órganos que hacen parte del presupuesto general de la Nación, en cumplimiento del Plan de Austeridad y del Decreto 1068 de 2015, se abstendrán de realizar las siguientes actividades: </w:t>
      </w:r>
    </w:p>
    <w:p w:rsidR="0010544D" w:rsidRPr="00234CF1" w:rsidRDefault="0010544D" w:rsidP="00234CF1">
      <w:pPr>
        <w:rPr>
          <w:rFonts w:cstheme="minorHAnsi"/>
          <w:sz w:val="20"/>
          <w:szCs w:val="20"/>
        </w:rPr>
      </w:pPr>
    </w:p>
    <w:p w:rsidR="00234CF1" w:rsidRPr="00234CF1" w:rsidRDefault="00234CF1" w:rsidP="00234CF1">
      <w:pPr>
        <w:rPr>
          <w:rFonts w:cstheme="minorHAnsi"/>
          <w:sz w:val="20"/>
          <w:szCs w:val="20"/>
        </w:rPr>
      </w:pPr>
      <w:r w:rsidRPr="00234CF1">
        <w:rPr>
          <w:rFonts w:cstheme="minorHAnsi"/>
          <w:sz w:val="20"/>
          <w:szCs w:val="20"/>
        </w:rPr>
        <w:t xml:space="preserve">• Celebrar contratos de prestación de servicios con personas naturales o jurídicas. Solo procederá la contratación cuando no exista personal de planta con capacidad para realizar las actividades que serán contratadas. </w:t>
      </w:r>
    </w:p>
    <w:p w:rsidR="00234CF1" w:rsidRPr="00234CF1" w:rsidRDefault="00234CF1" w:rsidP="00234CF1">
      <w:pPr>
        <w:rPr>
          <w:rFonts w:cstheme="minorHAnsi"/>
          <w:sz w:val="20"/>
          <w:szCs w:val="20"/>
        </w:rPr>
      </w:pPr>
      <w:r w:rsidRPr="00234CF1">
        <w:rPr>
          <w:rFonts w:cstheme="minorHAnsi"/>
          <w:sz w:val="20"/>
          <w:szCs w:val="20"/>
        </w:rPr>
        <w:t xml:space="preserve">• Celebrar contratos de publicidad y/o propaganda personalizada (agendas, almanaques, libretas, pocillos, vasos, esferos, etc.), adquirir libros, revistas, o similares; imprimir informes, folletos o textos institucionales. </w:t>
      </w:r>
    </w:p>
    <w:p w:rsidR="00234CF1" w:rsidRPr="00234CF1" w:rsidRDefault="00234CF1" w:rsidP="00234CF1">
      <w:pPr>
        <w:rPr>
          <w:rFonts w:cstheme="minorHAnsi"/>
          <w:sz w:val="20"/>
          <w:szCs w:val="20"/>
        </w:rPr>
      </w:pPr>
      <w:r w:rsidRPr="00234CF1">
        <w:rPr>
          <w:rFonts w:cstheme="minorHAnsi"/>
          <w:sz w:val="20"/>
          <w:szCs w:val="20"/>
        </w:rPr>
        <w:t xml:space="preserve">• Realizar publicaciones impresas cuando se cuente con espacio web para realizarlas; en caso de hacerlo no será a color y papeles especiales, y demás características que superen el costo mínimo de publicación y presentación. </w:t>
      </w:r>
    </w:p>
    <w:p w:rsidR="00234CF1" w:rsidRPr="00234CF1" w:rsidRDefault="00234CF1" w:rsidP="00234CF1">
      <w:pPr>
        <w:rPr>
          <w:rFonts w:cstheme="minorHAnsi"/>
          <w:sz w:val="20"/>
          <w:szCs w:val="20"/>
        </w:rPr>
      </w:pPr>
      <w:r w:rsidRPr="00234CF1">
        <w:rPr>
          <w:rFonts w:cstheme="minorHAnsi"/>
          <w:sz w:val="20"/>
          <w:szCs w:val="20"/>
        </w:rPr>
        <w:t xml:space="preserve">• Iniciar cualquier tipo de contratación que implique mejoras suntuarias, tales como el embellecimiento, la ornamentación o la instalación o adecuación de acabados estéticos de bienes inmuebles. </w:t>
      </w:r>
    </w:p>
    <w:p w:rsidR="00234CF1" w:rsidRPr="00234CF1" w:rsidRDefault="00234CF1" w:rsidP="00234CF1">
      <w:pPr>
        <w:rPr>
          <w:rFonts w:cstheme="minorHAnsi"/>
          <w:sz w:val="20"/>
          <w:szCs w:val="20"/>
        </w:rPr>
      </w:pPr>
      <w:r w:rsidRPr="00234CF1">
        <w:rPr>
          <w:rFonts w:cstheme="minorHAnsi"/>
          <w:sz w:val="20"/>
          <w:szCs w:val="20"/>
        </w:rPr>
        <w:t xml:space="preserve">• El mantenimiento a bienes inmuebles, solo procederá cuando de no hacerse se ponga en riesgo la seguridad de los funcionarios públicos. </w:t>
      </w:r>
    </w:p>
    <w:p w:rsidR="00234CF1" w:rsidRPr="00234CF1" w:rsidRDefault="00234CF1" w:rsidP="00234CF1">
      <w:pPr>
        <w:rPr>
          <w:rFonts w:cstheme="minorHAnsi"/>
          <w:sz w:val="20"/>
          <w:szCs w:val="20"/>
        </w:rPr>
      </w:pPr>
      <w:r w:rsidRPr="00234CF1">
        <w:rPr>
          <w:rFonts w:cstheme="minorHAnsi"/>
          <w:sz w:val="20"/>
          <w:szCs w:val="20"/>
        </w:rPr>
        <w:t xml:space="preserve">• Adquirir bienes muebles no necesarios para el normal funcionamiento de las instituciones tales como neveras, televisores, equipos audiovisuales, video bean, computadores portátiles, tableros interactivos, calentadores, hornos, etc. </w:t>
      </w:r>
    </w:p>
    <w:p w:rsidR="00234CF1" w:rsidRPr="00234CF1" w:rsidRDefault="00234CF1" w:rsidP="00234CF1">
      <w:pPr>
        <w:rPr>
          <w:rFonts w:cstheme="minorHAnsi"/>
          <w:sz w:val="20"/>
          <w:szCs w:val="20"/>
        </w:rPr>
      </w:pPr>
      <w:r w:rsidRPr="00234CF1">
        <w:rPr>
          <w:rFonts w:cstheme="minorHAnsi"/>
          <w:sz w:val="20"/>
          <w:szCs w:val="20"/>
        </w:rPr>
        <w:t xml:space="preserve">• Adquirir vehículos automotores. </w:t>
      </w:r>
    </w:p>
    <w:p w:rsidR="00234CF1" w:rsidRPr="00234CF1" w:rsidRDefault="00234CF1" w:rsidP="00234CF1">
      <w:pPr>
        <w:rPr>
          <w:rFonts w:cstheme="minorHAnsi"/>
          <w:sz w:val="20"/>
          <w:szCs w:val="20"/>
        </w:rPr>
      </w:pPr>
      <w:r w:rsidRPr="00234CF1">
        <w:rPr>
          <w:rFonts w:cstheme="minorHAnsi"/>
          <w:sz w:val="20"/>
          <w:szCs w:val="20"/>
        </w:rPr>
        <w:t xml:space="preserve">• Cambiar de sedes. Solo procederá cuando no genere impacto presupuestal o su necesidad haga inaplazable su construcción. </w:t>
      </w:r>
    </w:p>
    <w:p w:rsidR="00234CF1" w:rsidRPr="00234CF1" w:rsidRDefault="00234CF1" w:rsidP="00234CF1">
      <w:pPr>
        <w:rPr>
          <w:rFonts w:cstheme="minorHAnsi"/>
          <w:sz w:val="20"/>
          <w:szCs w:val="20"/>
        </w:rPr>
      </w:pPr>
      <w:r w:rsidRPr="00234CF1">
        <w:rPr>
          <w:rFonts w:cstheme="minorHAnsi"/>
          <w:sz w:val="20"/>
          <w:szCs w:val="20"/>
        </w:rPr>
        <w:t xml:space="preserve">• Realizar recepciones, fiestas, agasajos o conmemoraciones de las entidades con cargo a los recursos del Tesoro Público. Otorgar condecoraciones de cualquier tipo. </w:t>
      </w:r>
    </w:p>
    <w:p w:rsidR="00234CF1" w:rsidRPr="00234CF1" w:rsidRDefault="00234CF1" w:rsidP="00234CF1">
      <w:pPr>
        <w:rPr>
          <w:rFonts w:cstheme="minorHAnsi"/>
          <w:sz w:val="20"/>
          <w:szCs w:val="20"/>
        </w:rPr>
      </w:pPr>
      <w:r w:rsidRPr="00234CF1">
        <w:rPr>
          <w:rFonts w:cstheme="minorHAnsi"/>
          <w:sz w:val="20"/>
          <w:szCs w:val="20"/>
        </w:rPr>
        <w:t>• Adquirir regalos corporativos, suvenir o recuerdos.</w:t>
      </w:r>
    </w:p>
    <w:p w:rsidR="00234CF1" w:rsidRPr="00234CF1" w:rsidRDefault="00234CF1" w:rsidP="00234CF1">
      <w:pPr>
        <w:rPr>
          <w:rFonts w:cstheme="minorHAnsi"/>
          <w:sz w:val="20"/>
          <w:szCs w:val="20"/>
        </w:rPr>
      </w:pPr>
      <w:r w:rsidRPr="00234CF1">
        <w:rPr>
          <w:rFonts w:cstheme="minorHAnsi"/>
          <w:sz w:val="20"/>
          <w:szCs w:val="20"/>
        </w:rPr>
        <w:t xml:space="preserve">Es importante resaltar el nivel de compromiso de las dependencias misionales y de apoyo en la ejecución del presupuesto asignado, que se acerca al 50% en el primer trimestre, con lo cual se espera que al final de la vigencia 2017 los pagos tengan una ejecución muy cercana a lo comprometido. </w:t>
      </w:r>
    </w:p>
    <w:p w:rsidR="00234CF1" w:rsidRDefault="00234CF1" w:rsidP="00CB2981">
      <w:pPr>
        <w:rPr>
          <w:rFonts w:cstheme="minorHAnsi"/>
          <w:sz w:val="20"/>
          <w:szCs w:val="20"/>
        </w:rPr>
      </w:pPr>
      <w:r w:rsidRPr="00234CF1">
        <w:rPr>
          <w:rFonts w:cstheme="minorHAnsi"/>
          <w:sz w:val="20"/>
          <w:szCs w:val="20"/>
        </w:rPr>
        <w:t>De igual forma, en esta vigencia el Ministerio de Hacienda y Crédito Público asignó al Ideam recursos propios para apalancar gastos generales y el ingreso no es inmediato ni periódico, depende de la venta de bienes y servicios.</w:t>
      </w:r>
    </w:p>
    <w:sectPr w:rsidR="00234CF1" w:rsidSect="00EC66D8">
      <w:footerReference w:type="defaul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CC2" w:rsidRDefault="006D1CC2" w:rsidP="00EC66D8">
      <w:pPr>
        <w:spacing w:after="0" w:line="240" w:lineRule="auto"/>
      </w:pPr>
      <w:r>
        <w:separator/>
      </w:r>
    </w:p>
  </w:endnote>
  <w:endnote w:type="continuationSeparator" w:id="0">
    <w:p w:rsidR="006D1CC2" w:rsidRDefault="006D1CC2" w:rsidP="00EC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572454"/>
      <w:docPartObj>
        <w:docPartGallery w:val="Page Numbers (Bottom of Page)"/>
        <w:docPartUnique/>
      </w:docPartObj>
    </w:sdtPr>
    <w:sdtEndPr/>
    <w:sdtContent>
      <w:p w:rsidR="00EC66D8" w:rsidRDefault="00EC66D8">
        <w:pPr>
          <w:pStyle w:val="Piedepgina"/>
          <w:jc w:val="right"/>
        </w:pPr>
        <w:r>
          <w:fldChar w:fldCharType="begin"/>
        </w:r>
        <w:r>
          <w:instrText>PAGE   \* MERGEFORMAT</w:instrText>
        </w:r>
        <w:r>
          <w:fldChar w:fldCharType="separate"/>
        </w:r>
        <w:r w:rsidR="00684A9A" w:rsidRPr="00684A9A">
          <w:rPr>
            <w:noProof/>
            <w:lang w:val="es-ES"/>
          </w:rPr>
          <w:t>11</w:t>
        </w:r>
        <w:r>
          <w:fldChar w:fldCharType="end"/>
        </w:r>
      </w:p>
    </w:sdtContent>
  </w:sdt>
  <w:p w:rsidR="00EC66D8" w:rsidRDefault="00EC66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CC2" w:rsidRDefault="006D1CC2" w:rsidP="00EC66D8">
      <w:pPr>
        <w:spacing w:after="0" w:line="240" w:lineRule="auto"/>
      </w:pPr>
      <w:r>
        <w:separator/>
      </w:r>
    </w:p>
  </w:footnote>
  <w:footnote w:type="continuationSeparator" w:id="0">
    <w:p w:rsidR="006D1CC2" w:rsidRDefault="006D1CC2" w:rsidP="00EC6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70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2D556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2B0D4068"/>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F3A7A1A"/>
    <w:multiLevelType w:val="hybridMultilevel"/>
    <w:tmpl w:val="2F702E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FE"/>
    <w:rsid w:val="00026B4D"/>
    <w:rsid w:val="00056940"/>
    <w:rsid w:val="000C5095"/>
    <w:rsid w:val="0010544D"/>
    <w:rsid w:val="001B351F"/>
    <w:rsid w:val="001C05CB"/>
    <w:rsid w:val="0021356E"/>
    <w:rsid w:val="00234CF1"/>
    <w:rsid w:val="002366FE"/>
    <w:rsid w:val="003028D0"/>
    <w:rsid w:val="00305266"/>
    <w:rsid w:val="00397FA4"/>
    <w:rsid w:val="004725D6"/>
    <w:rsid w:val="00475592"/>
    <w:rsid w:val="00485597"/>
    <w:rsid w:val="00533C5E"/>
    <w:rsid w:val="005C15C4"/>
    <w:rsid w:val="005D2810"/>
    <w:rsid w:val="00684A9A"/>
    <w:rsid w:val="006D1CC2"/>
    <w:rsid w:val="007B382C"/>
    <w:rsid w:val="007B51B1"/>
    <w:rsid w:val="007B7871"/>
    <w:rsid w:val="007D16CE"/>
    <w:rsid w:val="00831035"/>
    <w:rsid w:val="008657E2"/>
    <w:rsid w:val="008958AE"/>
    <w:rsid w:val="008A4DC3"/>
    <w:rsid w:val="008D2259"/>
    <w:rsid w:val="0093792C"/>
    <w:rsid w:val="00976F31"/>
    <w:rsid w:val="00A06DBF"/>
    <w:rsid w:val="00A65A99"/>
    <w:rsid w:val="00B86D7E"/>
    <w:rsid w:val="00CB2981"/>
    <w:rsid w:val="00D209EA"/>
    <w:rsid w:val="00D859D9"/>
    <w:rsid w:val="00EA2DF7"/>
    <w:rsid w:val="00EC66D8"/>
    <w:rsid w:val="00F10B4B"/>
    <w:rsid w:val="00F75C45"/>
    <w:rsid w:val="00FB14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s-C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99"/>
  </w:style>
  <w:style w:type="paragraph" w:styleId="Ttulo1">
    <w:name w:val="heading 1"/>
    <w:basedOn w:val="Normal"/>
    <w:next w:val="Normal"/>
    <w:link w:val="Ttulo1Car"/>
    <w:uiPriority w:val="9"/>
    <w:qFormat/>
    <w:rsid w:val="00D859D9"/>
    <w:pPr>
      <w:keepNext/>
      <w:keepLines/>
      <w:numPr>
        <w:numId w:val="4"/>
      </w:numPr>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Ttulo2">
    <w:name w:val="heading 2"/>
    <w:basedOn w:val="Normal"/>
    <w:next w:val="Normal"/>
    <w:link w:val="Ttulo2Car"/>
    <w:uiPriority w:val="9"/>
    <w:unhideWhenUsed/>
    <w:qFormat/>
    <w:rsid w:val="00D859D9"/>
    <w:pPr>
      <w:keepNext/>
      <w:keepLines/>
      <w:numPr>
        <w:ilvl w:val="1"/>
        <w:numId w:val="4"/>
      </w:numPr>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Ttulo3">
    <w:name w:val="heading 3"/>
    <w:basedOn w:val="Normal"/>
    <w:next w:val="Normal"/>
    <w:link w:val="Ttulo3Car"/>
    <w:uiPriority w:val="9"/>
    <w:semiHidden/>
    <w:unhideWhenUsed/>
    <w:qFormat/>
    <w:rsid w:val="00A65A99"/>
    <w:pPr>
      <w:keepNext/>
      <w:keepLines/>
      <w:numPr>
        <w:ilvl w:val="2"/>
        <w:numId w:val="4"/>
      </w:numPr>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rsid w:val="00A65A99"/>
    <w:pPr>
      <w:keepNext/>
      <w:keepLines/>
      <w:numPr>
        <w:ilvl w:val="3"/>
        <w:numId w:val="4"/>
      </w:numPr>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rsid w:val="00A65A99"/>
    <w:pPr>
      <w:keepNext/>
      <w:keepLines/>
      <w:numPr>
        <w:ilvl w:val="4"/>
        <w:numId w:val="4"/>
      </w:numPr>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rsid w:val="00A65A99"/>
    <w:pPr>
      <w:keepNext/>
      <w:keepLines/>
      <w:numPr>
        <w:ilvl w:val="5"/>
        <w:numId w:val="4"/>
      </w:numPr>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rsid w:val="00A65A99"/>
    <w:pPr>
      <w:keepNext/>
      <w:keepLines/>
      <w:numPr>
        <w:ilvl w:val="6"/>
        <w:numId w:val="4"/>
      </w:numPr>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rsid w:val="00A65A99"/>
    <w:pPr>
      <w:keepNext/>
      <w:keepLines/>
      <w:numPr>
        <w:ilvl w:val="7"/>
        <w:numId w:val="4"/>
      </w:numPr>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rsid w:val="00A65A99"/>
    <w:pPr>
      <w:keepNext/>
      <w:keepLines/>
      <w:numPr>
        <w:ilvl w:val="8"/>
        <w:numId w:val="4"/>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9D9"/>
    <w:rPr>
      <w:rFonts w:asciiTheme="majorHAnsi" w:eastAsiaTheme="majorEastAsia" w:hAnsiTheme="majorHAnsi" w:cstheme="majorBidi"/>
      <w:color w:val="2E74B5" w:themeColor="accent1" w:themeShade="BF"/>
      <w:sz w:val="36"/>
      <w:szCs w:val="36"/>
    </w:rPr>
  </w:style>
  <w:style w:type="paragraph" w:styleId="Prrafodelista">
    <w:name w:val="List Paragraph"/>
    <w:basedOn w:val="Normal"/>
    <w:uiPriority w:val="34"/>
    <w:qFormat/>
    <w:rsid w:val="0021356E"/>
    <w:pPr>
      <w:ind w:left="720"/>
      <w:contextualSpacing/>
    </w:pPr>
  </w:style>
  <w:style w:type="paragraph" w:styleId="TtulodeTDC">
    <w:name w:val="TOC Heading"/>
    <w:basedOn w:val="Ttulo1"/>
    <w:next w:val="Normal"/>
    <w:uiPriority w:val="39"/>
    <w:unhideWhenUsed/>
    <w:qFormat/>
    <w:rsid w:val="00A65A99"/>
    <w:pPr>
      <w:outlineLvl w:val="9"/>
    </w:pPr>
  </w:style>
  <w:style w:type="paragraph" w:styleId="TDC1">
    <w:name w:val="toc 1"/>
    <w:basedOn w:val="Normal"/>
    <w:next w:val="Normal"/>
    <w:autoRedefine/>
    <w:uiPriority w:val="39"/>
    <w:unhideWhenUsed/>
    <w:rsid w:val="00305266"/>
    <w:pPr>
      <w:spacing w:after="100"/>
    </w:pPr>
  </w:style>
  <w:style w:type="character" w:styleId="Hipervnculo">
    <w:name w:val="Hyperlink"/>
    <w:basedOn w:val="Fuentedeprrafopredeter"/>
    <w:uiPriority w:val="99"/>
    <w:unhideWhenUsed/>
    <w:rsid w:val="00305266"/>
    <w:rPr>
      <w:color w:val="0563C1" w:themeColor="hyperlink"/>
      <w:u w:val="single"/>
    </w:rPr>
  </w:style>
  <w:style w:type="character" w:customStyle="1" w:styleId="Ttulo2Car">
    <w:name w:val="Título 2 Car"/>
    <w:basedOn w:val="Fuentedeprrafopredeter"/>
    <w:link w:val="Ttulo2"/>
    <w:uiPriority w:val="9"/>
    <w:rsid w:val="00D859D9"/>
    <w:rPr>
      <w:rFonts w:asciiTheme="majorHAnsi" w:eastAsiaTheme="majorEastAsia" w:hAnsiTheme="majorHAnsi" w:cstheme="majorBidi"/>
      <w:color w:val="2E74B5" w:themeColor="accent1" w:themeShade="BF"/>
      <w:sz w:val="28"/>
      <w:szCs w:val="28"/>
    </w:rPr>
  </w:style>
  <w:style w:type="paragraph" w:styleId="TDC2">
    <w:name w:val="toc 2"/>
    <w:basedOn w:val="Normal"/>
    <w:next w:val="Normal"/>
    <w:autoRedefine/>
    <w:uiPriority w:val="39"/>
    <w:unhideWhenUsed/>
    <w:rsid w:val="00F10B4B"/>
    <w:pPr>
      <w:spacing w:after="100"/>
      <w:ind w:left="240"/>
    </w:pPr>
  </w:style>
  <w:style w:type="character" w:customStyle="1" w:styleId="Ttulo3Car">
    <w:name w:val="Título 3 Car"/>
    <w:basedOn w:val="Fuentedeprrafopredeter"/>
    <w:link w:val="Ttulo3"/>
    <w:uiPriority w:val="9"/>
    <w:semiHidden/>
    <w:rsid w:val="00A65A99"/>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sid w:val="00A65A99"/>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sid w:val="00A65A99"/>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sid w:val="00A65A99"/>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sid w:val="00A65A99"/>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sid w:val="00A65A99"/>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sid w:val="00A65A99"/>
    <w:rPr>
      <w:rFonts w:asciiTheme="majorHAnsi" w:eastAsiaTheme="majorEastAsia" w:hAnsiTheme="majorHAnsi" w:cstheme="majorBidi"/>
      <w:i/>
      <w:iCs/>
      <w:smallCaps/>
      <w:color w:val="595959" w:themeColor="text1" w:themeTint="A6"/>
    </w:rPr>
  </w:style>
  <w:style w:type="paragraph" w:styleId="Sinespaciado">
    <w:name w:val="No Spacing"/>
    <w:link w:val="SinespaciadoCar"/>
    <w:uiPriority w:val="1"/>
    <w:qFormat/>
    <w:rsid w:val="00A65A99"/>
    <w:pPr>
      <w:spacing w:after="0" w:line="240" w:lineRule="auto"/>
    </w:pPr>
  </w:style>
  <w:style w:type="character" w:customStyle="1" w:styleId="SinespaciadoCar">
    <w:name w:val="Sin espaciado Car"/>
    <w:basedOn w:val="Fuentedeprrafopredeter"/>
    <w:link w:val="Sinespaciado"/>
    <w:uiPriority w:val="1"/>
    <w:rsid w:val="00831035"/>
  </w:style>
  <w:style w:type="paragraph" w:styleId="Epgrafe">
    <w:name w:val="caption"/>
    <w:basedOn w:val="Normal"/>
    <w:next w:val="Normal"/>
    <w:uiPriority w:val="35"/>
    <w:semiHidden/>
    <w:unhideWhenUsed/>
    <w:qFormat/>
    <w:rsid w:val="00A65A99"/>
    <w:pPr>
      <w:spacing w:line="240" w:lineRule="auto"/>
    </w:pPr>
    <w:rPr>
      <w:b/>
      <w:bCs/>
      <w:color w:val="404040" w:themeColor="text1" w:themeTint="BF"/>
      <w:sz w:val="20"/>
      <w:szCs w:val="20"/>
    </w:rPr>
  </w:style>
  <w:style w:type="paragraph" w:styleId="Ttulo">
    <w:name w:val="Title"/>
    <w:basedOn w:val="Normal"/>
    <w:next w:val="Normal"/>
    <w:link w:val="TtuloCar"/>
    <w:uiPriority w:val="10"/>
    <w:qFormat/>
    <w:rsid w:val="00A65A9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tuloCar">
    <w:name w:val="Título Car"/>
    <w:basedOn w:val="Fuentedeprrafopredeter"/>
    <w:link w:val="Ttulo"/>
    <w:uiPriority w:val="10"/>
    <w:rsid w:val="00A65A99"/>
    <w:rPr>
      <w:rFonts w:asciiTheme="majorHAnsi" w:eastAsiaTheme="majorEastAsia" w:hAnsiTheme="majorHAnsi" w:cstheme="majorBidi"/>
      <w:color w:val="2E74B5" w:themeColor="accent1" w:themeShade="BF"/>
      <w:spacing w:val="-7"/>
      <w:sz w:val="80"/>
      <w:szCs w:val="80"/>
    </w:rPr>
  </w:style>
  <w:style w:type="paragraph" w:styleId="Subttulo">
    <w:name w:val="Subtitle"/>
    <w:basedOn w:val="Normal"/>
    <w:next w:val="Normal"/>
    <w:link w:val="SubttuloCar"/>
    <w:uiPriority w:val="11"/>
    <w:qFormat/>
    <w:rsid w:val="00A65A9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
    <w:name w:val="Subtítulo Car"/>
    <w:basedOn w:val="Fuentedeprrafopredeter"/>
    <w:link w:val="Subttulo"/>
    <w:uiPriority w:val="11"/>
    <w:rsid w:val="00A65A99"/>
    <w:rPr>
      <w:rFonts w:asciiTheme="majorHAnsi" w:eastAsiaTheme="majorEastAsia" w:hAnsiTheme="majorHAnsi" w:cstheme="majorBidi"/>
      <w:color w:val="404040" w:themeColor="text1" w:themeTint="BF"/>
      <w:sz w:val="30"/>
      <w:szCs w:val="30"/>
    </w:rPr>
  </w:style>
  <w:style w:type="character" w:styleId="Textoennegrita">
    <w:name w:val="Strong"/>
    <w:basedOn w:val="Fuentedeprrafopredeter"/>
    <w:uiPriority w:val="22"/>
    <w:qFormat/>
    <w:rsid w:val="00A65A99"/>
    <w:rPr>
      <w:b/>
      <w:bCs/>
    </w:rPr>
  </w:style>
  <w:style w:type="character" w:styleId="nfasis">
    <w:name w:val="Emphasis"/>
    <w:basedOn w:val="Fuentedeprrafopredeter"/>
    <w:uiPriority w:val="20"/>
    <w:qFormat/>
    <w:rsid w:val="00A65A99"/>
    <w:rPr>
      <w:i/>
      <w:iCs/>
    </w:rPr>
  </w:style>
  <w:style w:type="paragraph" w:styleId="Cita">
    <w:name w:val="Quote"/>
    <w:basedOn w:val="Normal"/>
    <w:next w:val="Normal"/>
    <w:link w:val="CitaCar"/>
    <w:uiPriority w:val="29"/>
    <w:qFormat/>
    <w:rsid w:val="00A65A99"/>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A65A99"/>
    <w:rPr>
      <w:i/>
      <w:iCs/>
    </w:rPr>
  </w:style>
  <w:style w:type="paragraph" w:styleId="Citadestacada">
    <w:name w:val="Intense Quote"/>
    <w:basedOn w:val="Normal"/>
    <w:next w:val="Normal"/>
    <w:link w:val="CitadestacadaCar"/>
    <w:uiPriority w:val="30"/>
    <w:qFormat/>
    <w:rsid w:val="00A65A9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65A99"/>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A65A99"/>
    <w:rPr>
      <w:i/>
      <w:iCs/>
      <w:color w:val="595959" w:themeColor="text1" w:themeTint="A6"/>
    </w:rPr>
  </w:style>
  <w:style w:type="character" w:styleId="nfasisintenso">
    <w:name w:val="Intense Emphasis"/>
    <w:basedOn w:val="Fuentedeprrafopredeter"/>
    <w:uiPriority w:val="21"/>
    <w:qFormat/>
    <w:rsid w:val="00A65A99"/>
    <w:rPr>
      <w:b/>
      <w:bCs/>
      <w:i/>
      <w:iCs/>
    </w:rPr>
  </w:style>
  <w:style w:type="character" w:styleId="Referenciasutil">
    <w:name w:val="Subtle Reference"/>
    <w:basedOn w:val="Fuentedeprrafopredeter"/>
    <w:uiPriority w:val="31"/>
    <w:qFormat/>
    <w:rsid w:val="00A65A99"/>
    <w:rPr>
      <w:smallCaps/>
      <w:color w:val="404040" w:themeColor="text1" w:themeTint="BF"/>
    </w:rPr>
  </w:style>
  <w:style w:type="character" w:styleId="Referenciaintensa">
    <w:name w:val="Intense Reference"/>
    <w:basedOn w:val="Fuentedeprrafopredeter"/>
    <w:uiPriority w:val="32"/>
    <w:qFormat/>
    <w:rsid w:val="00A65A99"/>
    <w:rPr>
      <w:b/>
      <w:bCs/>
      <w:smallCaps/>
      <w:u w:val="single"/>
    </w:rPr>
  </w:style>
  <w:style w:type="character" w:styleId="Ttulodellibro">
    <w:name w:val="Book Title"/>
    <w:basedOn w:val="Fuentedeprrafopredeter"/>
    <w:uiPriority w:val="33"/>
    <w:qFormat/>
    <w:rsid w:val="00A65A99"/>
    <w:rPr>
      <w:b/>
      <w:bCs/>
      <w:smallCaps/>
    </w:rPr>
  </w:style>
  <w:style w:type="paragraph" w:styleId="Textodeglobo">
    <w:name w:val="Balloon Text"/>
    <w:basedOn w:val="Normal"/>
    <w:link w:val="TextodegloboCar"/>
    <w:uiPriority w:val="99"/>
    <w:semiHidden/>
    <w:unhideWhenUsed/>
    <w:rsid w:val="001B35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51F"/>
    <w:rPr>
      <w:rFonts w:ascii="Tahoma" w:hAnsi="Tahoma" w:cs="Tahoma"/>
      <w:sz w:val="16"/>
      <w:szCs w:val="16"/>
    </w:rPr>
  </w:style>
  <w:style w:type="paragraph" w:styleId="Encabezado">
    <w:name w:val="header"/>
    <w:basedOn w:val="Normal"/>
    <w:link w:val="EncabezadoCar"/>
    <w:uiPriority w:val="99"/>
    <w:unhideWhenUsed/>
    <w:rsid w:val="00EC66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6D8"/>
  </w:style>
  <w:style w:type="paragraph" w:styleId="Piedepgina">
    <w:name w:val="footer"/>
    <w:basedOn w:val="Normal"/>
    <w:link w:val="PiedepginaCar"/>
    <w:uiPriority w:val="99"/>
    <w:unhideWhenUsed/>
    <w:rsid w:val="00EC66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s-C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99"/>
  </w:style>
  <w:style w:type="paragraph" w:styleId="Ttulo1">
    <w:name w:val="heading 1"/>
    <w:basedOn w:val="Normal"/>
    <w:next w:val="Normal"/>
    <w:link w:val="Ttulo1Car"/>
    <w:uiPriority w:val="9"/>
    <w:qFormat/>
    <w:rsid w:val="00D859D9"/>
    <w:pPr>
      <w:keepNext/>
      <w:keepLines/>
      <w:numPr>
        <w:numId w:val="4"/>
      </w:numPr>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Ttulo2">
    <w:name w:val="heading 2"/>
    <w:basedOn w:val="Normal"/>
    <w:next w:val="Normal"/>
    <w:link w:val="Ttulo2Car"/>
    <w:uiPriority w:val="9"/>
    <w:unhideWhenUsed/>
    <w:qFormat/>
    <w:rsid w:val="00D859D9"/>
    <w:pPr>
      <w:keepNext/>
      <w:keepLines/>
      <w:numPr>
        <w:ilvl w:val="1"/>
        <w:numId w:val="4"/>
      </w:numPr>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Ttulo3">
    <w:name w:val="heading 3"/>
    <w:basedOn w:val="Normal"/>
    <w:next w:val="Normal"/>
    <w:link w:val="Ttulo3Car"/>
    <w:uiPriority w:val="9"/>
    <w:semiHidden/>
    <w:unhideWhenUsed/>
    <w:qFormat/>
    <w:rsid w:val="00A65A99"/>
    <w:pPr>
      <w:keepNext/>
      <w:keepLines/>
      <w:numPr>
        <w:ilvl w:val="2"/>
        <w:numId w:val="4"/>
      </w:numPr>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rsid w:val="00A65A99"/>
    <w:pPr>
      <w:keepNext/>
      <w:keepLines/>
      <w:numPr>
        <w:ilvl w:val="3"/>
        <w:numId w:val="4"/>
      </w:numPr>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rsid w:val="00A65A99"/>
    <w:pPr>
      <w:keepNext/>
      <w:keepLines/>
      <w:numPr>
        <w:ilvl w:val="4"/>
        <w:numId w:val="4"/>
      </w:numPr>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rsid w:val="00A65A99"/>
    <w:pPr>
      <w:keepNext/>
      <w:keepLines/>
      <w:numPr>
        <w:ilvl w:val="5"/>
        <w:numId w:val="4"/>
      </w:numPr>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rsid w:val="00A65A99"/>
    <w:pPr>
      <w:keepNext/>
      <w:keepLines/>
      <w:numPr>
        <w:ilvl w:val="6"/>
        <w:numId w:val="4"/>
      </w:numPr>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rsid w:val="00A65A99"/>
    <w:pPr>
      <w:keepNext/>
      <w:keepLines/>
      <w:numPr>
        <w:ilvl w:val="7"/>
        <w:numId w:val="4"/>
      </w:numPr>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rsid w:val="00A65A99"/>
    <w:pPr>
      <w:keepNext/>
      <w:keepLines/>
      <w:numPr>
        <w:ilvl w:val="8"/>
        <w:numId w:val="4"/>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9D9"/>
    <w:rPr>
      <w:rFonts w:asciiTheme="majorHAnsi" w:eastAsiaTheme="majorEastAsia" w:hAnsiTheme="majorHAnsi" w:cstheme="majorBidi"/>
      <w:color w:val="2E74B5" w:themeColor="accent1" w:themeShade="BF"/>
      <w:sz w:val="36"/>
      <w:szCs w:val="36"/>
    </w:rPr>
  </w:style>
  <w:style w:type="paragraph" w:styleId="Prrafodelista">
    <w:name w:val="List Paragraph"/>
    <w:basedOn w:val="Normal"/>
    <w:uiPriority w:val="34"/>
    <w:qFormat/>
    <w:rsid w:val="0021356E"/>
    <w:pPr>
      <w:ind w:left="720"/>
      <w:contextualSpacing/>
    </w:pPr>
  </w:style>
  <w:style w:type="paragraph" w:styleId="TtulodeTDC">
    <w:name w:val="TOC Heading"/>
    <w:basedOn w:val="Ttulo1"/>
    <w:next w:val="Normal"/>
    <w:uiPriority w:val="39"/>
    <w:unhideWhenUsed/>
    <w:qFormat/>
    <w:rsid w:val="00A65A99"/>
    <w:pPr>
      <w:outlineLvl w:val="9"/>
    </w:pPr>
  </w:style>
  <w:style w:type="paragraph" w:styleId="TDC1">
    <w:name w:val="toc 1"/>
    <w:basedOn w:val="Normal"/>
    <w:next w:val="Normal"/>
    <w:autoRedefine/>
    <w:uiPriority w:val="39"/>
    <w:unhideWhenUsed/>
    <w:rsid w:val="00305266"/>
    <w:pPr>
      <w:spacing w:after="100"/>
    </w:pPr>
  </w:style>
  <w:style w:type="character" w:styleId="Hipervnculo">
    <w:name w:val="Hyperlink"/>
    <w:basedOn w:val="Fuentedeprrafopredeter"/>
    <w:uiPriority w:val="99"/>
    <w:unhideWhenUsed/>
    <w:rsid w:val="00305266"/>
    <w:rPr>
      <w:color w:val="0563C1" w:themeColor="hyperlink"/>
      <w:u w:val="single"/>
    </w:rPr>
  </w:style>
  <w:style w:type="character" w:customStyle="1" w:styleId="Ttulo2Car">
    <w:name w:val="Título 2 Car"/>
    <w:basedOn w:val="Fuentedeprrafopredeter"/>
    <w:link w:val="Ttulo2"/>
    <w:uiPriority w:val="9"/>
    <w:rsid w:val="00D859D9"/>
    <w:rPr>
      <w:rFonts w:asciiTheme="majorHAnsi" w:eastAsiaTheme="majorEastAsia" w:hAnsiTheme="majorHAnsi" w:cstheme="majorBidi"/>
      <w:color w:val="2E74B5" w:themeColor="accent1" w:themeShade="BF"/>
      <w:sz w:val="28"/>
      <w:szCs w:val="28"/>
    </w:rPr>
  </w:style>
  <w:style w:type="paragraph" w:styleId="TDC2">
    <w:name w:val="toc 2"/>
    <w:basedOn w:val="Normal"/>
    <w:next w:val="Normal"/>
    <w:autoRedefine/>
    <w:uiPriority w:val="39"/>
    <w:unhideWhenUsed/>
    <w:rsid w:val="00F10B4B"/>
    <w:pPr>
      <w:spacing w:after="100"/>
      <w:ind w:left="240"/>
    </w:pPr>
  </w:style>
  <w:style w:type="character" w:customStyle="1" w:styleId="Ttulo3Car">
    <w:name w:val="Título 3 Car"/>
    <w:basedOn w:val="Fuentedeprrafopredeter"/>
    <w:link w:val="Ttulo3"/>
    <w:uiPriority w:val="9"/>
    <w:semiHidden/>
    <w:rsid w:val="00A65A99"/>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sid w:val="00A65A99"/>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sid w:val="00A65A99"/>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sid w:val="00A65A99"/>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sid w:val="00A65A99"/>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sid w:val="00A65A99"/>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sid w:val="00A65A99"/>
    <w:rPr>
      <w:rFonts w:asciiTheme="majorHAnsi" w:eastAsiaTheme="majorEastAsia" w:hAnsiTheme="majorHAnsi" w:cstheme="majorBidi"/>
      <w:i/>
      <w:iCs/>
      <w:smallCaps/>
      <w:color w:val="595959" w:themeColor="text1" w:themeTint="A6"/>
    </w:rPr>
  </w:style>
  <w:style w:type="paragraph" w:styleId="Sinespaciado">
    <w:name w:val="No Spacing"/>
    <w:link w:val="SinespaciadoCar"/>
    <w:uiPriority w:val="1"/>
    <w:qFormat/>
    <w:rsid w:val="00A65A99"/>
    <w:pPr>
      <w:spacing w:after="0" w:line="240" w:lineRule="auto"/>
    </w:pPr>
  </w:style>
  <w:style w:type="character" w:customStyle="1" w:styleId="SinespaciadoCar">
    <w:name w:val="Sin espaciado Car"/>
    <w:basedOn w:val="Fuentedeprrafopredeter"/>
    <w:link w:val="Sinespaciado"/>
    <w:uiPriority w:val="1"/>
    <w:rsid w:val="00831035"/>
  </w:style>
  <w:style w:type="paragraph" w:styleId="Epgrafe">
    <w:name w:val="caption"/>
    <w:basedOn w:val="Normal"/>
    <w:next w:val="Normal"/>
    <w:uiPriority w:val="35"/>
    <w:semiHidden/>
    <w:unhideWhenUsed/>
    <w:qFormat/>
    <w:rsid w:val="00A65A99"/>
    <w:pPr>
      <w:spacing w:line="240" w:lineRule="auto"/>
    </w:pPr>
    <w:rPr>
      <w:b/>
      <w:bCs/>
      <w:color w:val="404040" w:themeColor="text1" w:themeTint="BF"/>
      <w:sz w:val="20"/>
      <w:szCs w:val="20"/>
    </w:rPr>
  </w:style>
  <w:style w:type="paragraph" w:styleId="Ttulo">
    <w:name w:val="Title"/>
    <w:basedOn w:val="Normal"/>
    <w:next w:val="Normal"/>
    <w:link w:val="TtuloCar"/>
    <w:uiPriority w:val="10"/>
    <w:qFormat/>
    <w:rsid w:val="00A65A9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tuloCar">
    <w:name w:val="Título Car"/>
    <w:basedOn w:val="Fuentedeprrafopredeter"/>
    <w:link w:val="Ttulo"/>
    <w:uiPriority w:val="10"/>
    <w:rsid w:val="00A65A99"/>
    <w:rPr>
      <w:rFonts w:asciiTheme="majorHAnsi" w:eastAsiaTheme="majorEastAsia" w:hAnsiTheme="majorHAnsi" w:cstheme="majorBidi"/>
      <w:color w:val="2E74B5" w:themeColor="accent1" w:themeShade="BF"/>
      <w:spacing w:val="-7"/>
      <w:sz w:val="80"/>
      <w:szCs w:val="80"/>
    </w:rPr>
  </w:style>
  <w:style w:type="paragraph" w:styleId="Subttulo">
    <w:name w:val="Subtitle"/>
    <w:basedOn w:val="Normal"/>
    <w:next w:val="Normal"/>
    <w:link w:val="SubttuloCar"/>
    <w:uiPriority w:val="11"/>
    <w:qFormat/>
    <w:rsid w:val="00A65A9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
    <w:name w:val="Subtítulo Car"/>
    <w:basedOn w:val="Fuentedeprrafopredeter"/>
    <w:link w:val="Subttulo"/>
    <w:uiPriority w:val="11"/>
    <w:rsid w:val="00A65A99"/>
    <w:rPr>
      <w:rFonts w:asciiTheme="majorHAnsi" w:eastAsiaTheme="majorEastAsia" w:hAnsiTheme="majorHAnsi" w:cstheme="majorBidi"/>
      <w:color w:val="404040" w:themeColor="text1" w:themeTint="BF"/>
      <w:sz w:val="30"/>
      <w:szCs w:val="30"/>
    </w:rPr>
  </w:style>
  <w:style w:type="character" w:styleId="Textoennegrita">
    <w:name w:val="Strong"/>
    <w:basedOn w:val="Fuentedeprrafopredeter"/>
    <w:uiPriority w:val="22"/>
    <w:qFormat/>
    <w:rsid w:val="00A65A99"/>
    <w:rPr>
      <w:b/>
      <w:bCs/>
    </w:rPr>
  </w:style>
  <w:style w:type="character" w:styleId="nfasis">
    <w:name w:val="Emphasis"/>
    <w:basedOn w:val="Fuentedeprrafopredeter"/>
    <w:uiPriority w:val="20"/>
    <w:qFormat/>
    <w:rsid w:val="00A65A99"/>
    <w:rPr>
      <w:i/>
      <w:iCs/>
    </w:rPr>
  </w:style>
  <w:style w:type="paragraph" w:styleId="Cita">
    <w:name w:val="Quote"/>
    <w:basedOn w:val="Normal"/>
    <w:next w:val="Normal"/>
    <w:link w:val="CitaCar"/>
    <w:uiPriority w:val="29"/>
    <w:qFormat/>
    <w:rsid w:val="00A65A99"/>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A65A99"/>
    <w:rPr>
      <w:i/>
      <w:iCs/>
    </w:rPr>
  </w:style>
  <w:style w:type="paragraph" w:styleId="Citadestacada">
    <w:name w:val="Intense Quote"/>
    <w:basedOn w:val="Normal"/>
    <w:next w:val="Normal"/>
    <w:link w:val="CitadestacadaCar"/>
    <w:uiPriority w:val="30"/>
    <w:qFormat/>
    <w:rsid w:val="00A65A9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65A99"/>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A65A99"/>
    <w:rPr>
      <w:i/>
      <w:iCs/>
      <w:color w:val="595959" w:themeColor="text1" w:themeTint="A6"/>
    </w:rPr>
  </w:style>
  <w:style w:type="character" w:styleId="nfasisintenso">
    <w:name w:val="Intense Emphasis"/>
    <w:basedOn w:val="Fuentedeprrafopredeter"/>
    <w:uiPriority w:val="21"/>
    <w:qFormat/>
    <w:rsid w:val="00A65A99"/>
    <w:rPr>
      <w:b/>
      <w:bCs/>
      <w:i/>
      <w:iCs/>
    </w:rPr>
  </w:style>
  <w:style w:type="character" w:styleId="Referenciasutil">
    <w:name w:val="Subtle Reference"/>
    <w:basedOn w:val="Fuentedeprrafopredeter"/>
    <w:uiPriority w:val="31"/>
    <w:qFormat/>
    <w:rsid w:val="00A65A99"/>
    <w:rPr>
      <w:smallCaps/>
      <w:color w:val="404040" w:themeColor="text1" w:themeTint="BF"/>
    </w:rPr>
  </w:style>
  <w:style w:type="character" w:styleId="Referenciaintensa">
    <w:name w:val="Intense Reference"/>
    <w:basedOn w:val="Fuentedeprrafopredeter"/>
    <w:uiPriority w:val="32"/>
    <w:qFormat/>
    <w:rsid w:val="00A65A99"/>
    <w:rPr>
      <w:b/>
      <w:bCs/>
      <w:smallCaps/>
      <w:u w:val="single"/>
    </w:rPr>
  </w:style>
  <w:style w:type="character" w:styleId="Ttulodellibro">
    <w:name w:val="Book Title"/>
    <w:basedOn w:val="Fuentedeprrafopredeter"/>
    <w:uiPriority w:val="33"/>
    <w:qFormat/>
    <w:rsid w:val="00A65A99"/>
    <w:rPr>
      <w:b/>
      <w:bCs/>
      <w:smallCaps/>
    </w:rPr>
  </w:style>
  <w:style w:type="paragraph" w:styleId="Textodeglobo">
    <w:name w:val="Balloon Text"/>
    <w:basedOn w:val="Normal"/>
    <w:link w:val="TextodegloboCar"/>
    <w:uiPriority w:val="99"/>
    <w:semiHidden/>
    <w:unhideWhenUsed/>
    <w:rsid w:val="001B35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51F"/>
    <w:rPr>
      <w:rFonts w:ascii="Tahoma" w:hAnsi="Tahoma" w:cs="Tahoma"/>
      <w:sz w:val="16"/>
      <w:szCs w:val="16"/>
    </w:rPr>
  </w:style>
  <w:style w:type="paragraph" w:styleId="Encabezado">
    <w:name w:val="header"/>
    <w:basedOn w:val="Normal"/>
    <w:link w:val="EncabezadoCar"/>
    <w:uiPriority w:val="99"/>
    <w:unhideWhenUsed/>
    <w:rsid w:val="00EC66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6D8"/>
  </w:style>
  <w:style w:type="paragraph" w:styleId="Piedepgina">
    <w:name w:val="footer"/>
    <w:basedOn w:val="Normal"/>
    <w:link w:val="PiedepginaCar"/>
    <w:uiPriority w:val="99"/>
    <w:unhideWhenUsed/>
    <w:rsid w:val="00EC66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E9B536-55B5-4A19-81CF-E9FD8850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1779</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Alberto Toro Bustillo</dc:creator>
  <cp:lastModifiedBy>Jorge Eliecer Polo Ceron</cp:lastModifiedBy>
  <cp:revision>7</cp:revision>
  <dcterms:created xsi:type="dcterms:W3CDTF">2017-05-19T20:48:00Z</dcterms:created>
  <dcterms:modified xsi:type="dcterms:W3CDTF">2017-07-10T14:42:00Z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