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b w:val="1"/>
          <w:color w:val="5b9bd5"/>
          <w:sz w:val="44"/>
          <w:szCs w:val="44"/>
          <w:highlight w:val="white"/>
        </w:rPr>
      </w:pPr>
      <w:r w:rsidDel="00000000" w:rsidR="00000000" w:rsidRPr="00000000">
        <w:rPr>
          <w:rtl w:val="0"/>
        </w:rPr>
      </w:r>
    </w:p>
    <w:p w:rsidR="00000000" w:rsidDel="00000000" w:rsidP="00000000" w:rsidRDefault="00000000" w:rsidRPr="00000000" w14:paraId="00000002">
      <w:pPr>
        <w:pStyle w:val="Title"/>
        <w:jc w:val="center"/>
        <w:rPr>
          <w:rFonts w:ascii="Calibri" w:cs="Calibri" w:eastAsia="Calibri" w:hAnsi="Calibri"/>
          <w:b w:val="1"/>
          <w:color w:val="5b9bd5"/>
          <w:sz w:val="44"/>
          <w:szCs w:val="44"/>
          <w:highlight w:val="white"/>
        </w:rPr>
      </w:pPr>
      <w:r w:rsidDel="00000000" w:rsidR="00000000" w:rsidRPr="00000000">
        <w:rPr>
          <w:rtl w:val="0"/>
        </w:rPr>
      </w:r>
    </w:p>
    <w:p w:rsidR="00000000" w:rsidDel="00000000" w:rsidP="00000000" w:rsidRDefault="00000000" w:rsidRPr="00000000" w14:paraId="00000003">
      <w:pPr>
        <w:pStyle w:val="Title"/>
        <w:jc w:val="center"/>
        <w:rPr>
          <w:rFonts w:ascii="Arial" w:cs="Arial" w:eastAsia="Arial" w:hAnsi="Arial"/>
          <w:b w:val="1"/>
          <w:color w:val="5b9bd5"/>
          <w:sz w:val="52"/>
          <w:szCs w:val="52"/>
          <w:highlight w:val="white"/>
        </w:rPr>
      </w:pPr>
      <w:r w:rsidDel="00000000" w:rsidR="00000000" w:rsidRPr="00000000">
        <w:rPr>
          <w:rFonts w:ascii="Arial" w:cs="Arial" w:eastAsia="Arial" w:hAnsi="Arial"/>
          <w:b w:val="1"/>
          <w:color w:val="5b9bd5"/>
          <w:sz w:val="52"/>
          <w:szCs w:val="52"/>
          <w:highlight w:val="white"/>
          <w:rtl w:val="0"/>
        </w:rPr>
        <w:t xml:space="preserve">Informe de Monitoreo I Cuatrimestre al Mapa de Riesgos de la Entidad </w:t>
      </w:r>
    </w:p>
    <w:p w:rsidR="00000000" w:rsidDel="00000000" w:rsidP="00000000" w:rsidRDefault="00000000" w:rsidRPr="00000000" w14:paraId="00000004">
      <w:pPr>
        <w:spacing w:after="0" w:line="240" w:lineRule="auto"/>
        <w:jc w:val="center"/>
        <w:rPr/>
      </w:pPr>
      <w:r w:rsidDel="00000000" w:rsidR="00000000" w:rsidRPr="00000000">
        <w:rPr>
          <w:rtl w:val="0"/>
        </w:rPr>
      </w:r>
    </w:p>
    <w:p w:rsidR="00000000" w:rsidDel="00000000" w:rsidP="00000000" w:rsidRDefault="00000000" w:rsidRPr="00000000" w14:paraId="00000005">
      <w:pPr>
        <w:spacing w:after="0" w:line="240" w:lineRule="auto"/>
        <w:jc w:val="center"/>
        <w:rPr/>
      </w:pPr>
      <w:r w:rsidDel="00000000" w:rsidR="00000000" w:rsidRPr="00000000">
        <w:rPr>
          <w:rtl w:val="0"/>
        </w:rPr>
      </w:r>
    </w:p>
    <w:p w:rsidR="00000000" w:rsidDel="00000000" w:rsidP="00000000" w:rsidRDefault="00000000" w:rsidRPr="00000000" w14:paraId="00000006">
      <w:pPr>
        <w:spacing w:after="0" w:line="240" w:lineRule="auto"/>
        <w:jc w:val="center"/>
        <w:rPr/>
      </w:pPr>
      <w:r w:rsidDel="00000000" w:rsidR="00000000" w:rsidRPr="00000000">
        <w:rPr>
          <w:rtl w:val="0"/>
        </w:rPr>
      </w:r>
    </w:p>
    <w:p w:rsidR="00000000" w:rsidDel="00000000" w:rsidP="00000000" w:rsidRDefault="00000000" w:rsidRPr="00000000" w14:paraId="00000007">
      <w:pPr>
        <w:spacing w:after="0" w:line="240" w:lineRule="auto"/>
        <w:jc w:val="center"/>
        <w:rPr/>
      </w:pPr>
      <w:r w:rsidDel="00000000" w:rsidR="00000000" w:rsidRPr="00000000">
        <w:rPr>
          <w:rtl w:val="0"/>
        </w:rPr>
      </w:r>
    </w:p>
    <w:p w:rsidR="00000000" w:rsidDel="00000000" w:rsidP="00000000" w:rsidRDefault="00000000" w:rsidRPr="00000000" w14:paraId="00000008">
      <w:pPr>
        <w:spacing w:after="0" w:line="240" w:lineRule="auto"/>
        <w:jc w:val="center"/>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0A">
      <w:pPr>
        <w:spacing w:after="0" w:line="240" w:lineRule="auto"/>
        <w:jc w:val="center"/>
        <w:rPr>
          <w:b w:val="1"/>
          <w:color w:val="2e75b5"/>
          <w:sz w:val="32"/>
          <w:szCs w:val="32"/>
        </w:rPr>
      </w:pPr>
      <w:r w:rsidDel="00000000" w:rsidR="00000000" w:rsidRPr="00000000">
        <w:rPr>
          <w:b w:val="1"/>
          <w:color w:val="2e75b5"/>
          <w:sz w:val="32"/>
          <w:szCs w:val="32"/>
          <w:rtl w:val="0"/>
        </w:rPr>
        <w:t xml:space="preserve">Elaborado por:</w:t>
      </w:r>
      <w:r w:rsidDel="00000000" w:rsidR="00000000" w:rsidRPr="00000000">
        <w:rPr>
          <w:color w:val="8496b0"/>
          <w:sz w:val="36"/>
          <w:szCs w:val="36"/>
          <w:rtl w:val="0"/>
        </w:rPr>
        <w:t xml:space="preserve"> </w:t>
      </w:r>
      <w:r w:rsidDel="00000000" w:rsidR="00000000" w:rsidRPr="00000000">
        <w:rPr>
          <w:rtl w:val="0"/>
        </w:rPr>
      </w:r>
    </w:p>
    <w:p w:rsidR="00000000" w:rsidDel="00000000" w:rsidP="00000000" w:rsidRDefault="00000000" w:rsidRPr="00000000" w14:paraId="0000000B">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0C">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0D">
      <w:pPr>
        <w:spacing w:after="0" w:line="240" w:lineRule="auto"/>
        <w:jc w:val="center"/>
        <w:rPr>
          <w:b w:val="1"/>
          <w:color w:val="2e75b5"/>
          <w:sz w:val="32"/>
          <w:szCs w:val="32"/>
        </w:rPr>
      </w:pPr>
      <w:r w:rsidDel="00000000" w:rsidR="00000000" w:rsidRPr="00000000">
        <w:rPr>
          <w:b w:val="1"/>
          <w:color w:val="2e75b5"/>
          <w:sz w:val="32"/>
          <w:szCs w:val="32"/>
          <w:rtl w:val="0"/>
        </w:rPr>
        <w:t xml:space="preserve">Oficina Asesora de Planeación</w:t>
      </w:r>
    </w:p>
    <w:p w:rsidR="00000000" w:rsidDel="00000000" w:rsidP="00000000" w:rsidRDefault="00000000" w:rsidRPr="00000000" w14:paraId="0000000E">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0F">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0">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1">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2">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3">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4">
      <w:pPr>
        <w:spacing w:after="0" w:line="360" w:lineRule="auto"/>
        <w:jc w:val="center"/>
        <w:rPr>
          <w:color w:val="2e75b5"/>
          <w:sz w:val="32"/>
          <w:szCs w:val="32"/>
        </w:rPr>
      </w:pPr>
      <w:r w:rsidDel="00000000" w:rsidR="00000000" w:rsidRPr="00000000">
        <w:rPr>
          <w:color w:val="2e75b5"/>
          <w:sz w:val="32"/>
          <w:szCs w:val="32"/>
          <w:rtl w:val="0"/>
        </w:rPr>
        <w:t xml:space="preserve">Telly Month Parra</w:t>
      </w:r>
    </w:p>
    <w:p w:rsidR="00000000" w:rsidDel="00000000" w:rsidP="00000000" w:rsidRDefault="00000000" w:rsidRPr="00000000" w14:paraId="00000015">
      <w:pPr>
        <w:spacing w:after="0" w:line="360" w:lineRule="auto"/>
        <w:jc w:val="center"/>
        <w:rPr>
          <w:b w:val="1"/>
          <w:color w:val="2e75b5"/>
          <w:sz w:val="32"/>
          <w:szCs w:val="32"/>
        </w:rPr>
      </w:pPr>
      <w:r w:rsidDel="00000000" w:rsidR="00000000" w:rsidRPr="00000000">
        <w:rPr>
          <w:b w:val="1"/>
          <w:color w:val="2e75b5"/>
          <w:sz w:val="32"/>
          <w:szCs w:val="32"/>
          <w:rtl w:val="0"/>
        </w:rPr>
        <w:t xml:space="preserve">Jefe Oficina Asesora de Planeación</w:t>
      </w:r>
    </w:p>
    <w:p w:rsidR="00000000" w:rsidDel="00000000" w:rsidP="00000000" w:rsidRDefault="00000000" w:rsidRPr="00000000" w14:paraId="00000016">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7">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8">
      <w:pPr>
        <w:spacing w:after="0" w:line="240" w:lineRule="auto"/>
        <w:jc w:val="center"/>
        <w:rPr>
          <w:b w:val="1"/>
          <w:color w:val="2e75b5"/>
          <w:sz w:val="32"/>
          <w:szCs w:val="32"/>
        </w:rPr>
      </w:pPr>
      <w:r w:rsidDel="00000000" w:rsidR="00000000" w:rsidRPr="00000000">
        <w:rPr>
          <w:rtl w:val="0"/>
        </w:rPr>
      </w:r>
    </w:p>
    <w:p w:rsidR="00000000" w:rsidDel="00000000" w:rsidP="00000000" w:rsidRDefault="00000000" w:rsidRPr="00000000" w14:paraId="00000019">
      <w:pPr>
        <w:spacing w:after="0" w:line="240" w:lineRule="auto"/>
        <w:jc w:val="center"/>
        <w:rPr>
          <w:color w:val="2e75b5"/>
          <w:sz w:val="32"/>
          <w:szCs w:val="32"/>
        </w:rPr>
      </w:pPr>
      <w:r w:rsidDel="00000000" w:rsidR="00000000" w:rsidRPr="00000000">
        <w:rPr>
          <w:rtl w:val="0"/>
        </w:rPr>
      </w:r>
    </w:p>
    <w:p w:rsidR="00000000" w:rsidDel="00000000" w:rsidP="00000000" w:rsidRDefault="00000000" w:rsidRPr="00000000" w14:paraId="0000001A">
      <w:pPr>
        <w:spacing w:after="0" w:line="240" w:lineRule="auto"/>
        <w:jc w:val="center"/>
        <w:rPr>
          <w:color w:val="2e75b5"/>
          <w:sz w:val="32"/>
          <w:szCs w:val="32"/>
        </w:rPr>
      </w:pPr>
      <w:r w:rsidDel="00000000" w:rsidR="00000000" w:rsidRPr="00000000">
        <w:rPr>
          <w:rtl w:val="0"/>
        </w:rPr>
      </w:r>
    </w:p>
    <w:p w:rsidR="00000000" w:rsidDel="00000000" w:rsidP="00000000" w:rsidRDefault="00000000" w:rsidRPr="00000000" w14:paraId="0000001B">
      <w:pPr>
        <w:jc w:val="center"/>
        <w:rPr>
          <w:b w:val="1"/>
          <w:color w:val="2e75b5"/>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147320</wp:posOffset>
            </wp:positionV>
            <wp:extent cx="5612130" cy="816875"/>
            <wp:effectExtent b="0" l="0" r="0" t="0"/>
            <wp:wrapNone/>
            <wp:docPr id="5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612130" cy="816875"/>
                    </a:xfrm>
                    <a:prstGeom prst="rect"/>
                    <a:ln/>
                  </pic:spPr>
                </pic:pic>
              </a:graphicData>
            </a:graphic>
          </wp:anchor>
        </w:drawing>
      </w:r>
    </w:p>
    <w:p w:rsidR="00000000" w:rsidDel="00000000" w:rsidP="00000000" w:rsidRDefault="00000000" w:rsidRPr="00000000" w14:paraId="0000001C">
      <w:pPr>
        <w:spacing w:after="0" w:line="240" w:lineRule="auto"/>
        <w:rPr>
          <w:b w:val="1"/>
          <w:sz w:val="18"/>
          <w:szCs w:val="18"/>
          <w:highlight w:val="yellow"/>
        </w:rPr>
      </w:pPr>
      <w:r w:rsidDel="00000000" w:rsidR="00000000" w:rsidRPr="00000000">
        <w:rPr>
          <w:rtl w:val="0"/>
        </w:rPr>
      </w:r>
    </w:p>
    <w:p w:rsidR="00000000" w:rsidDel="00000000" w:rsidP="00000000" w:rsidRDefault="00000000" w:rsidRPr="00000000" w14:paraId="0000001D">
      <w:pPr>
        <w:spacing w:after="0" w:line="240" w:lineRule="auto"/>
        <w:rPr>
          <w:b w:val="1"/>
          <w:sz w:val="18"/>
          <w:szCs w:val="18"/>
          <w:highlight w:val="yellow"/>
        </w:rPr>
      </w:pPr>
      <w:r w:rsidDel="00000000" w:rsidR="00000000" w:rsidRPr="00000000">
        <w:rPr>
          <w:rtl w:val="0"/>
        </w:rPr>
      </w:r>
    </w:p>
    <w:p w:rsidR="00000000" w:rsidDel="00000000" w:rsidP="00000000" w:rsidRDefault="00000000" w:rsidRPr="00000000" w14:paraId="0000001E">
      <w:pPr>
        <w:spacing w:after="0" w:line="240" w:lineRule="auto"/>
        <w:rPr>
          <w:b w:val="1"/>
          <w:sz w:val="18"/>
          <w:szCs w:val="18"/>
          <w:highlight w:val="yellow"/>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Instituto de Hidrología, Meteorología y Estudios Ambientales administra los riesgos de toda naturaleza, con el fin de contribuir con el logro de los objetivos estratégicos de la entidad y el desarrollo de su misionalidad.  Los riesgos de corrupción identificados tienen la connotación de inaceptables y sus controles se orientan a mitigar la probabilidad de ocurrencia, de acuerdo con lo definido en el documento E-SGI-G003 Guía metodológica para la gestión del riesgo V3, la cual se actualiza en el mes de marzo, de acuerdo a los criterios definidos en el documento “Guía para la Administración de los Riesgos de Gestión, Corrupción y Seguridad Digital y el Diseño de Controles en Entidades Públicas”.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La entidad dispone los recursos necesarios y la participación del Nivel Directivo, mediante la definición de los instrumentos pertinentes, su estrategia de aplicación, roles y responsabilidades de cada jefe de dependencia frente a los riesgos identificados, los cuales se establecen desde la primera línea de defensa.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La Oficina Asesora de Planeación realiza este informe con el resultado del monitoreo a la matriz de riesgos del I cuatrimestre, en cumplimiento a sus responsabilidades como segunda línea de defensa. </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Desde la OAP se realiza el monitoreo al 100% de los riesgos de corrupción, de este puede concluir que de los riesgos definidos en el 2020 (16 riesgos de corrupción), una vez se realiza actualización de la E-SGI-F006 Matriz de riesgos, la cual incluyó un ejercicio de verificación del contexto de proceso, revisión de los objetivos de proceso y aplicación de los lineamientos definidos en la política de riesgos sobre los criterios para identificar y redactar riesgos de gestión y corrupción.</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Con respecto a los riesgos de corrupción el 42% se concentran en los procesos de Estratégicos, el 19% en procesos misionales, 33% en procesos de apoyo y finalmente el 1% en el proceso de seguimiento y evaluación. Se identifican 4 riesgos en los procesos de apoyo que se encontraban definidos como riesgos de corrupción, sin embargo, no cumplían con la estructura para ser considerados como tal, al igual no se identificaba la causa inmediata o “cómo se podría materializar el riesgo de corrupción”, por lo cual se justifican los cambios a realizar en la matriz mediante el formato de gestión del cambio.</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De igual manera 7 riesgos de diferentes procesos cuentan con causas, definiciones similares entre sí, por lo cual se articulan generando que el monitoreo de los procesos sea más productivo y los controles se puedan gestionar desde un único riesgo. </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Con respecto a la valoración de riesgos final,  en el nivel de riesgo Bajo se ubica el 22% de los riesgos, en zona de riesgo media el 55% de los riesgos, este porcentaje con respecto al año pasado aumentó  ya que al aplicar la valoración individual y conjunta de los controles, se logra identificar la importancia de inclusión de controles preventivos, detectivos y correctivos en la gestión de riesgos para impactar a probabilidad e impacto, lo cual genera que los riesgos en zona de riesgo inherente alto y extremo realmente se desplace en el mapa de calor.  </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Finalmente el 20% de los riesgos se ubica en zona de riesgo alta y el 3% en zona de riesgo extrema. </w:t>
      </w:r>
    </w:p>
    <w:p w:rsidR="00000000" w:rsidDel="00000000" w:rsidP="00000000" w:rsidRDefault="00000000" w:rsidRPr="00000000" w14:paraId="0000002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b w:val="1"/>
          <w:rtl w:val="0"/>
        </w:rPr>
        <w:t xml:space="preserve">Materialización de riesgos</w:t>
      </w:r>
      <w:r w:rsidDel="00000000" w:rsidR="00000000" w:rsidRPr="00000000">
        <w:rPr>
          <w:rFonts w:ascii="Arial" w:cs="Arial" w:eastAsia="Arial" w:hAnsi="Arial"/>
          <w:rtl w:val="0"/>
        </w:rPr>
        <w:t xml:space="preserve">: </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Este cuatrimestre el proceso de gestión de las tecnología de información y comunicaciones tuvo la materialización del riesgo </w:t>
      </w:r>
      <w:r w:rsidDel="00000000" w:rsidR="00000000" w:rsidRPr="00000000">
        <w:rPr>
          <w:rFonts w:ascii="Arial" w:cs="Arial" w:eastAsia="Arial" w:hAnsi="Arial"/>
          <w:i w:val="1"/>
          <w:rtl w:val="0"/>
        </w:rPr>
        <w:t xml:space="preserve">"Degradación y afectación en los  servicios esenciales de la entidad soportados en la operación de TI"</w:t>
      </w:r>
      <w:r w:rsidDel="00000000" w:rsidR="00000000" w:rsidRPr="00000000">
        <w:rPr>
          <w:rFonts w:ascii="Arial" w:cs="Arial" w:eastAsia="Arial" w:hAnsi="Arial"/>
          <w:rtl w:val="0"/>
        </w:rPr>
        <w:t xml:space="preserve">, generando como consecuencia la interrupción en la operación de TI. </w:t>
      </w:r>
    </w:p>
    <w:p w:rsidR="00000000" w:rsidDel="00000000" w:rsidP="00000000" w:rsidRDefault="00000000" w:rsidRPr="00000000" w14:paraId="0000002B">
      <w:pPr>
        <w:jc w:val="both"/>
        <w:rPr>
          <w:rFonts w:ascii="Arial" w:cs="Arial" w:eastAsia="Arial" w:hAnsi="Arial"/>
          <w:i w:val="1"/>
        </w:rPr>
      </w:pPr>
      <w:r w:rsidDel="00000000" w:rsidR="00000000" w:rsidRPr="00000000">
        <w:rPr>
          <w:rFonts w:ascii="Arial" w:cs="Arial" w:eastAsia="Arial" w:hAnsi="Arial"/>
          <w:rtl w:val="0"/>
        </w:rPr>
        <w:t xml:space="preserve">Se realiza mesa de trabajo con el proceso con el fin de identificar las causas que generaron la materialización y las acciones correctivas y de mejora a las que haya lugar como resultado del análisis. Como causa se establece” </w:t>
      </w:r>
      <w:r w:rsidDel="00000000" w:rsidR="00000000" w:rsidRPr="00000000">
        <w:rPr>
          <w:rFonts w:ascii="Arial" w:cs="Arial" w:eastAsia="Arial" w:hAnsi="Arial"/>
          <w:i w:val="1"/>
          <w:rtl w:val="0"/>
        </w:rPr>
        <w:t xml:space="preserve">El equipo que generó la afectación había cumplido su vida útil y no se contaba con el soporte de garantía para el mantenimiento ya que, al comprar los equipos estos tienen una garantía de soporte las cuales se vencieron el año pasado, no se contaba con presupuesto para ampliar las garantías de los equipos ya que el mismo no había sido aprobado”</w:t>
      </w:r>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Como acciones de mejora se establece: </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1. Contar con el plan de renovación</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2. Garantizar el apoyo financiero de la directiva para la suscripción de contrato de soporte y renovación de los mismos durante el ciclo de la infraestructura adquirida. </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3. Actualización, Gestión y control al plan de mantenimiento de los servicios tecnológicos para cada vigencia.</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4. Renovación de infraestructura tecnológica obsoleta</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Este plan será verificado de manera cuatrimestral por la Oficina Asesora de planeación con el fin de monitorear los avances y especialmente revisar que estas sean eficientes para que no se vuelva a materializar. </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El riesgo se analiza y es actualizado en la matriz de riesgos, las evidencias del primer cuatrimestre se incluyen en la carpeta del proceso. </w:t>
      </w: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rPr>
      </w:pPr>
      <w:r w:rsidDel="00000000" w:rsidR="00000000" w:rsidRPr="00000000">
        <w:rPr>
          <w:rFonts w:ascii="Arial" w:cs="Arial" w:eastAsia="Arial" w:hAnsi="Arial"/>
          <w:b w:val="1"/>
          <w:rtl w:val="0"/>
        </w:rPr>
        <w:t xml:space="preserve">Conclusiones</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Una vez revisada la matriz de riesgos por procesos, LA OAP establece como conclusiones y recomendaciones: </w:t>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El ejercicio de actualización de riesgos y la capacitación por medio de mesas de trabajo permitió que los procesos revisaran desde el contexto de su procesos, los eventos que se podría presentar y que al momento de materializarse generarían un impacto a su proceso y a la entidad, reflejados en sanciones, multas y afectación de la imagen y reputación de la Entidad, lo que permitió que se establecieron controles más claros, con una periodicidad de seguimiento y con evidencias claras que permitan monitorear y realizar seguimiento a sus avances.  </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En general se actualiza en su redacción el 100% de los riesgos cumpliendo con la estructura que establece el DAFP para identificación de riesgos, se actualiza de igual manera la redacción de los controles, validando de manera individual y conjunta la magnitud y atributos de estos y el aporte en la disminución del riesgo ya sea basada en la probabilidad o impacto. </w:t>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Se da respuesta a las recomendaciones entregadas por la oficina de control interno con respecto a la relación entre las causas inmediatas, la aplicación de controles que permitan atacar directamente la causa raíz, así como la metodología para identificación de las causas raíz. </w:t>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62075" cy="704850"/>
          <wp:effectExtent b="0" l="0" r="0" t="0"/>
          <wp:docPr id="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2075" cy="7048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3705225</wp:posOffset>
          </wp:positionH>
          <wp:positionV relativeFrom="paragraph">
            <wp:posOffset>227965</wp:posOffset>
          </wp:positionV>
          <wp:extent cx="1810385" cy="359410"/>
          <wp:effectExtent b="0" l="0" r="0" t="0"/>
          <wp:wrapSquare wrapText="bothSides" distB="0" distT="0" distL="114300" distR="114300"/>
          <wp:docPr id="5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10385" cy="3594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color w:val="2e75b5"/>
      <w:sz w:val="56"/>
      <w:szCs w:val="56"/>
    </w:rPr>
  </w:style>
  <w:style w:type="paragraph" w:styleId="Normal" w:default="1">
    <w:name w:val="Normal"/>
    <w:qFormat w:val="1"/>
  </w:style>
  <w:style w:type="paragraph" w:styleId="Heading1">
    <w:name w:val="heading 1"/>
    <w:basedOn w:val="Normal"/>
    <w:next w:val="Normal"/>
    <w:link w:val="Heading1Char"/>
    <w:qFormat w:val="1"/>
    <w:rsid w:val="004A6087"/>
    <w:pPr>
      <w:keepNext w:val="1"/>
      <w:spacing w:after="60" w:before="240" w:line="240" w:lineRule="auto"/>
      <w:outlineLvl w:val="0"/>
    </w:pPr>
    <w:rPr>
      <w:rFonts w:ascii="Cambria" w:cs="Times New Roman" w:eastAsia="Times New Roman" w:hAnsi="Cambria"/>
      <w:b w:val="1"/>
      <w:bCs w:val="1"/>
      <w:kern w:val="32"/>
      <w:sz w:val="32"/>
      <w:szCs w:val="32"/>
      <w:lang w:eastAsia="es-ES" w:val="es-E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4A6087"/>
    <w:rPr>
      <w:rFonts w:ascii="Cambria" w:cs="Times New Roman" w:eastAsia="Times New Roman" w:hAnsi="Cambria"/>
      <w:b w:val="1"/>
      <w:bCs w:val="1"/>
      <w:kern w:val="32"/>
      <w:sz w:val="32"/>
      <w:szCs w:val="32"/>
      <w:lang w:eastAsia="es-ES" w:val="es-ES"/>
    </w:rPr>
  </w:style>
  <w:style w:type="character" w:styleId="Hyperlink">
    <w:name w:val="Hyperlink"/>
    <w:basedOn w:val="DefaultParagraphFont"/>
    <w:uiPriority w:val="99"/>
    <w:unhideWhenUsed w:val="1"/>
    <w:rsid w:val="00D22A42"/>
    <w:rPr>
      <w:color w:val="0563c1" w:themeColor="hyperlink"/>
      <w:u w:val="single"/>
    </w:rPr>
  </w:style>
  <w:style w:type="paragraph" w:styleId="ListParagraph">
    <w:name w:val="List Paragraph"/>
    <w:basedOn w:val="Normal"/>
    <w:uiPriority w:val="34"/>
    <w:qFormat w:val="1"/>
    <w:rsid w:val="003510E5"/>
    <w:pPr>
      <w:ind w:left="720"/>
      <w:contextualSpacing w:val="1"/>
    </w:pPr>
  </w:style>
  <w:style w:type="paragraph" w:styleId="Default" w:customStyle="1">
    <w:name w:val="Default"/>
    <w:rsid w:val="00B97552"/>
    <w:pPr>
      <w:autoSpaceDE w:val="0"/>
      <w:autoSpaceDN w:val="0"/>
      <w:adjustRightInd w:val="0"/>
      <w:spacing w:after="0" w:line="240" w:lineRule="auto"/>
    </w:pPr>
    <w:rPr>
      <w:rFonts w:ascii="Arial" w:cs="Arial" w:eastAsia="Calibri" w:hAnsi="Arial"/>
      <w:color w:val="000000"/>
      <w:sz w:val="24"/>
      <w:szCs w:val="24"/>
      <w:lang w:val="es-ES"/>
    </w:rPr>
  </w:style>
  <w:style w:type="paragraph" w:styleId="BalloonText">
    <w:name w:val="Balloon Text"/>
    <w:basedOn w:val="Normal"/>
    <w:link w:val="BalloonTextChar"/>
    <w:uiPriority w:val="99"/>
    <w:semiHidden w:val="1"/>
    <w:unhideWhenUsed w:val="1"/>
    <w:rsid w:val="00B9755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97552"/>
    <w:rPr>
      <w:rFonts w:ascii="Segoe UI" w:cs="Segoe UI" w:hAnsi="Segoe UI"/>
      <w:sz w:val="18"/>
      <w:szCs w:val="18"/>
    </w:rPr>
  </w:style>
  <w:style w:type="table" w:styleId="PlainTable4">
    <w:name w:val="Plain Table 4"/>
    <w:basedOn w:val="TableNormal"/>
    <w:uiPriority w:val="44"/>
    <w:rsid w:val="00954BE5"/>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GridTable2-Accent5">
    <w:name w:val="Grid Table 2 Accent 5"/>
    <w:basedOn w:val="TableNormal"/>
    <w:uiPriority w:val="47"/>
    <w:rsid w:val="00954BE5"/>
    <w:pPr>
      <w:spacing w:after="0" w:line="240" w:lineRule="auto"/>
    </w:pPr>
    <w:tblPr>
      <w:tblStyleRowBandSize w:val="1"/>
      <w:tblStyleColBandSize w:val="1"/>
      <w:tblBorders>
        <w:top w:color="8eaadb" w:space="0" w:sz="2" w:themeColor="accent5" w:themeTint="000099" w:val="single"/>
        <w:bottom w:color="8eaadb" w:space="0" w:sz="2" w:themeColor="accent5" w:themeTint="000099" w:val="single"/>
        <w:insideH w:color="8eaadb" w:space="0" w:sz="2" w:themeColor="accent5" w:themeTint="000099" w:val="single"/>
        <w:insideV w:color="8eaadb" w:space="0" w:sz="2" w:themeColor="accent5" w:themeTint="000099" w:val="single"/>
      </w:tblBorders>
    </w:tblPr>
    <w:tblStylePr w:type="firstRow">
      <w:rPr>
        <w:b w:val="1"/>
        <w:bCs w:val="1"/>
      </w:rPr>
      <w:tblPr/>
      <w:tcPr>
        <w:tcBorders>
          <w:top w:space="0" w:sz="0" w:val="nil"/>
          <w:bottom w:color="8eaadb"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GridTable1Light-Accent5">
    <w:name w:val="Grid Table 1 Light Accent 5"/>
    <w:basedOn w:val="TableNormal"/>
    <w:uiPriority w:val="46"/>
    <w:rsid w:val="00DA3B31"/>
    <w:pPr>
      <w:spacing w:after="0" w:line="240" w:lineRule="auto"/>
    </w:pPr>
    <w:tblPr>
      <w:tblStyleRowBandSize w:val="1"/>
      <w:tblStyleColBandSize w:val="1"/>
      <w:tblBorders>
        <w:top w:color="b4c6e7" w:space="0" w:sz="4" w:themeColor="accent5" w:themeTint="000066" w:val="single"/>
        <w:left w:color="b4c6e7" w:space="0" w:sz="4" w:themeColor="accent5" w:themeTint="000066" w:val="single"/>
        <w:bottom w:color="b4c6e7" w:space="0" w:sz="4" w:themeColor="accent5" w:themeTint="000066" w:val="single"/>
        <w:right w:color="b4c6e7" w:space="0" w:sz="4" w:themeColor="accent5" w:themeTint="000066" w:val="single"/>
        <w:insideH w:color="b4c6e7" w:space="0" w:sz="4" w:themeColor="accent5" w:themeTint="000066" w:val="single"/>
        <w:insideV w:color="b4c6e7" w:space="0" w:sz="4" w:themeColor="accent5" w:themeTint="000066" w:val="single"/>
      </w:tblBorders>
    </w:tblPr>
    <w:tblStylePr w:type="firstRow">
      <w:rPr>
        <w:b w:val="1"/>
        <w:bCs w:val="1"/>
      </w:rPr>
      <w:tblPr/>
      <w:tcPr>
        <w:tcBorders>
          <w:bottom w:color="8eaadb" w:space="0" w:sz="12" w:themeColor="accent5" w:themeTint="000099" w:val="single"/>
        </w:tcBorders>
      </w:tcPr>
    </w:tblStylePr>
    <w:tblStylePr w:type="lastRow">
      <w:rPr>
        <w:b w:val="1"/>
        <w:bCs w:val="1"/>
      </w:rPr>
      <w:tblPr/>
      <w:tcPr>
        <w:tcBorders>
          <w:top w:color="8eaadb" w:space="0" w:sz="2" w:themeColor="accent5" w:themeTint="000099" w:val="double"/>
        </w:tcBorders>
      </w:tcPr>
    </w:tblStylePr>
    <w:tblStylePr w:type="firstCol">
      <w:rPr>
        <w:b w:val="1"/>
        <w:bCs w:val="1"/>
      </w:rPr>
    </w:tblStylePr>
    <w:tblStylePr w:type="lastCol">
      <w:rPr>
        <w:b w:val="1"/>
        <w:bCs w:val="1"/>
      </w:rPr>
    </w:tblStylePr>
  </w:style>
  <w:style w:type="paragraph" w:styleId="Title">
    <w:name w:val="Title"/>
    <w:basedOn w:val="Normal"/>
    <w:next w:val="Normal"/>
    <w:link w:val="TitleChar"/>
    <w:uiPriority w:val="1"/>
    <w:qFormat w:val="1"/>
    <w:rsid w:val="00DA3B31"/>
    <w:pPr>
      <w:spacing w:after="0" w:line="240" w:lineRule="auto"/>
      <w:contextualSpacing w:val="1"/>
    </w:pPr>
    <w:rPr>
      <w:rFonts w:asciiTheme="majorHAnsi" w:cstheme="majorBidi" w:eastAsiaTheme="majorEastAsia" w:hAnsiTheme="majorHAnsi"/>
      <w:color w:val="2e74b5" w:themeColor="accent1" w:themeShade="0000BF"/>
      <w:spacing w:val="-10"/>
      <w:kern w:val="28"/>
      <w:sz w:val="56"/>
      <w:szCs w:val="56"/>
    </w:rPr>
  </w:style>
  <w:style w:type="character" w:styleId="TitleChar" w:customStyle="1">
    <w:name w:val="Title Char"/>
    <w:basedOn w:val="DefaultParagraphFont"/>
    <w:link w:val="Title"/>
    <w:rsid w:val="00DA3B31"/>
    <w:rPr>
      <w:rFonts w:asciiTheme="majorHAnsi" w:cstheme="majorBidi" w:eastAsiaTheme="majorEastAsia" w:hAnsiTheme="majorHAnsi"/>
      <w:color w:val="2e74b5" w:themeColor="accent1" w:themeShade="0000BF"/>
      <w:spacing w:val="-10"/>
      <w:kern w:val="28"/>
      <w:sz w:val="56"/>
      <w:szCs w:val="56"/>
    </w:rPr>
  </w:style>
  <w:style w:type="character" w:styleId="FollowedHyperlink">
    <w:name w:val="FollowedHyperlink"/>
    <w:basedOn w:val="DefaultParagraphFont"/>
    <w:uiPriority w:val="99"/>
    <w:semiHidden w:val="1"/>
    <w:unhideWhenUsed w:val="1"/>
    <w:rsid w:val="00B2518B"/>
    <w:rPr>
      <w:color w:val="954f72"/>
      <w:u w:val="single"/>
    </w:rPr>
  </w:style>
  <w:style w:type="paragraph" w:styleId="msonormal0" w:customStyle="1">
    <w:name w:val="msonormal"/>
    <w:basedOn w:val="Normal"/>
    <w:rsid w:val="00B2518B"/>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font5" w:customStyle="1">
    <w:name w:val="font5"/>
    <w:basedOn w:val="Normal"/>
    <w:rsid w:val="00B2518B"/>
    <w:pPr>
      <w:spacing w:after="100" w:afterAutospacing="1" w:before="100" w:beforeAutospacing="1" w:line="240" w:lineRule="auto"/>
    </w:pPr>
    <w:rPr>
      <w:rFonts w:ascii="Calibri" w:cs="Calibri" w:eastAsia="Times New Roman" w:hAnsi="Calibri"/>
      <w:color w:val="000000"/>
      <w:sz w:val="18"/>
      <w:szCs w:val="18"/>
      <w:lang w:eastAsia="es-ES" w:val="es-ES"/>
    </w:rPr>
  </w:style>
  <w:style w:type="paragraph" w:styleId="xl64" w:customStyle="1">
    <w:name w:val="xl64"/>
    <w:basedOn w:val="Normal"/>
    <w:rsid w:val="00B2518B"/>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65" w:customStyle="1">
    <w:name w:val="xl65"/>
    <w:basedOn w:val="Normal"/>
    <w:rsid w:val="00B2518B"/>
    <w:pPr>
      <w:pBdr>
        <w:top w:color="auto" w:space="0" w:sz="4" w:val="single"/>
        <w:left w:color="auto" w:space="0" w:sz="4" w:val="single"/>
        <w:bottom w:color="auto" w:space="0" w:sz="8" w:val="single"/>
        <w:right w:color="auto" w:space="0" w:sz="4" w:val="single"/>
      </w:pBdr>
      <w:shd w:color="000000" w:fill="ffffff"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66" w:customStyle="1">
    <w:name w:val="xl66"/>
    <w:basedOn w:val="Normal"/>
    <w:rsid w:val="00B2518B"/>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67" w:customStyle="1">
    <w:name w:val="xl67"/>
    <w:basedOn w:val="Normal"/>
    <w:rsid w:val="00B2518B"/>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68" w:customStyle="1">
    <w:name w:val="xl68"/>
    <w:basedOn w:val="Normal"/>
    <w:rsid w:val="00B2518B"/>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69" w:customStyle="1">
    <w:name w:val="xl69"/>
    <w:basedOn w:val="Normal"/>
    <w:rsid w:val="00B2518B"/>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70" w:customStyle="1">
    <w:name w:val="xl70"/>
    <w:basedOn w:val="Normal"/>
    <w:rsid w:val="00B2518B"/>
    <w:pPr>
      <w:shd w:color="000000" w:fill="ffffff" w:val="clear"/>
      <w:spacing w:after="100" w:afterAutospacing="1" w:before="100" w:beforeAutospacing="1" w:line="240" w:lineRule="auto"/>
    </w:pPr>
    <w:rPr>
      <w:rFonts w:ascii="Times New Roman" w:cs="Times New Roman" w:eastAsia="Times New Roman" w:hAnsi="Times New Roman"/>
      <w:sz w:val="18"/>
      <w:szCs w:val="18"/>
      <w:lang w:eastAsia="es-ES" w:val="es-ES"/>
    </w:rPr>
  </w:style>
  <w:style w:type="paragraph" w:styleId="xl71" w:customStyle="1">
    <w:name w:val="xl71"/>
    <w:basedOn w:val="Normal"/>
    <w:rsid w:val="00B2518B"/>
    <w:pPr>
      <w:pBdr>
        <w:top w:color="auto" w:space="0" w:sz="4" w:val="single"/>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72" w:customStyle="1">
    <w:name w:val="xl72"/>
    <w:basedOn w:val="Normal"/>
    <w:rsid w:val="00B2518B"/>
    <w:pPr>
      <w:pBdr>
        <w:top w:color="auto" w:space="0" w:sz="4" w:val="single"/>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73" w:customStyle="1">
    <w:name w:val="xl73"/>
    <w:basedOn w:val="Normal"/>
    <w:rsid w:val="00B2518B"/>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74" w:customStyle="1">
    <w:name w:val="xl74"/>
    <w:basedOn w:val="Normal"/>
    <w:rsid w:val="00B2518B"/>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8"/>
      <w:szCs w:val="18"/>
      <w:lang w:eastAsia="es-ES" w:val="es-ES"/>
    </w:rPr>
  </w:style>
  <w:style w:type="paragraph" w:styleId="xl75" w:customStyle="1">
    <w:name w:val="xl75"/>
    <w:basedOn w:val="Normal"/>
    <w:rsid w:val="00B2518B"/>
    <w:pPr>
      <w:pBdr>
        <w:top w:color="auto" w:space="0" w:sz="4" w:val="single"/>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76" w:customStyle="1">
    <w:name w:val="xl76"/>
    <w:basedOn w:val="Normal"/>
    <w:rsid w:val="00B2518B"/>
    <w:pPr>
      <w:shd w:color="000000" w:fill="ffffff"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77" w:customStyle="1">
    <w:name w:val="xl77"/>
    <w:basedOn w:val="Normal"/>
    <w:rsid w:val="00B2518B"/>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both"/>
      <w:textAlignment w:val="center"/>
    </w:pPr>
    <w:rPr>
      <w:rFonts w:ascii="Times New Roman" w:cs="Times New Roman" w:eastAsia="Times New Roman" w:hAnsi="Times New Roman"/>
      <w:color w:val="ffff00"/>
      <w:sz w:val="18"/>
      <w:szCs w:val="18"/>
      <w:lang w:eastAsia="es-ES" w:val="es-ES"/>
    </w:rPr>
  </w:style>
  <w:style w:type="paragraph" w:styleId="xl78" w:customStyle="1">
    <w:name w:val="xl78"/>
    <w:basedOn w:val="Normal"/>
    <w:rsid w:val="00B2518B"/>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79" w:customStyle="1">
    <w:name w:val="xl79"/>
    <w:basedOn w:val="Normal"/>
    <w:rsid w:val="00B2518B"/>
    <w:pPr>
      <w:pBdr>
        <w:left w:color="auto" w:space="0" w:sz="4" w:val="single"/>
        <w:bottom w:color="auto" w:space="0" w:sz="4" w:val="single"/>
        <w:right w:color="auto" w:space="0" w:sz="4" w:val="single"/>
      </w:pBd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80" w:customStyle="1">
    <w:name w:val="xl80"/>
    <w:basedOn w:val="Normal"/>
    <w:rsid w:val="00B2518B"/>
    <w:pPr>
      <w:pBdr>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8"/>
      <w:szCs w:val="18"/>
      <w:lang w:eastAsia="es-ES" w:val="es-ES"/>
    </w:rPr>
  </w:style>
  <w:style w:type="paragraph" w:styleId="xl81" w:customStyle="1">
    <w:name w:val="xl81"/>
    <w:basedOn w:val="Normal"/>
    <w:rsid w:val="00B2518B"/>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82" w:customStyle="1">
    <w:name w:val="xl82"/>
    <w:basedOn w:val="Normal"/>
    <w:rsid w:val="00B2518B"/>
    <w:pPr>
      <w:pBdr>
        <w:top w:color="auto" w:space="0" w:sz="4" w:val="single"/>
        <w:left w:color="auto" w:space="0" w:sz="4" w:val="single"/>
        <w:bottom w:color="auto" w:space="0" w:sz="4" w:val="single"/>
        <w:right w:color="auto" w:space="0" w:sz="4" w:val="single"/>
      </w:pBdr>
      <w:shd w:color="000000" w:fill="29f32e"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83" w:customStyle="1">
    <w:name w:val="xl83"/>
    <w:basedOn w:val="Normal"/>
    <w:rsid w:val="00B2518B"/>
    <w:pPr>
      <w:pBdr>
        <w:top w:color="auto" w:space="0" w:sz="4" w:val="single"/>
        <w:left w:color="auto" w:space="0" w:sz="4" w:val="single"/>
        <w:bottom w:color="auto" w:space="0" w:sz="8"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84" w:customStyle="1">
    <w:name w:val="xl84"/>
    <w:basedOn w:val="Normal"/>
    <w:rsid w:val="00B2518B"/>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85" w:customStyle="1">
    <w:name w:val="xl85"/>
    <w:basedOn w:val="Normal"/>
    <w:rsid w:val="00B2518B"/>
    <w:pPr>
      <w:pBdr>
        <w:top w:color="auto" w:space="0" w:sz="8"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Times New Roman" w:cs="Times New Roman" w:eastAsia="Times New Roman" w:hAnsi="Times New Roman"/>
      <w:sz w:val="18"/>
      <w:szCs w:val="18"/>
      <w:lang w:eastAsia="es-ES" w:val="es-ES"/>
    </w:rPr>
  </w:style>
  <w:style w:type="paragraph" w:styleId="xl86" w:customStyle="1">
    <w:name w:val="xl86"/>
    <w:basedOn w:val="Normal"/>
    <w:rsid w:val="00B2518B"/>
    <w:pPr>
      <w:pBdr>
        <w:top w:color="auto" w:space="0" w:sz="8" w:val="single"/>
        <w:left w:color="auto" w:space="0" w:sz="4" w:val="single"/>
        <w:bottom w:color="auto" w:space="0" w:sz="4" w:val="single"/>
        <w:right w:color="auto" w:space="0" w:sz="4" w:val="single"/>
      </w:pBdr>
      <w:shd w:color="000000" w:fill="29f32e" w:val="clear"/>
      <w:spacing w:after="100" w:afterAutospacing="1" w:before="100" w:beforeAutospacing="1" w:line="240" w:lineRule="auto"/>
    </w:pPr>
    <w:rPr>
      <w:rFonts w:ascii="Times New Roman" w:cs="Times New Roman" w:eastAsia="Times New Roman" w:hAnsi="Times New Roman"/>
      <w:sz w:val="18"/>
      <w:szCs w:val="18"/>
      <w:lang w:eastAsia="es-ES" w:val="es-ES"/>
    </w:rPr>
  </w:style>
  <w:style w:type="paragraph" w:styleId="xl87" w:customStyle="1">
    <w:name w:val="xl87"/>
    <w:basedOn w:val="Normal"/>
    <w:rsid w:val="00B2518B"/>
    <w:pPr>
      <w:pBdr>
        <w:left w:color="auto" w:space="0" w:sz="4" w:val="single"/>
        <w:bottom w:color="auto" w:space="0" w:sz="4" w:val="single"/>
        <w:right w:color="auto" w:space="0" w:sz="4" w:val="single"/>
      </w:pBdr>
      <w:shd w:color="000000" w:fill="29f32e"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88" w:customStyle="1">
    <w:name w:val="xl88"/>
    <w:basedOn w:val="Normal"/>
    <w:rsid w:val="00B2518B"/>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89" w:customStyle="1">
    <w:name w:val="xl89"/>
    <w:basedOn w:val="Normal"/>
    <w:rsid w:val="00B2518B"/>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90" w:customStyle="1">
    <w:name w:val="xl90"/>
    <w:basedOn w:val="Normal"/>
    <w:rsid w:val="00B2518B"/>
    <w:pPr>
      <w:pBdr>
        <w:top w:color="auto" w:space="0" w:sz="4" w:val="single"/>
        <w:left w:color="auto" w:space="0" w:sz="4" w:val="single"/>
        <w:bottom w:color="auto" w:space="0" w:sz="4" w:val="single"/>
        <w:right w:color="auto" w:space="0" w:sz="4" w:val="single"/>
      </w:pBdr>
      <w:shd w:color="000000" w:fill="29f32e"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91" w:customStyle="1">
    <w:name w:val="xl91"/>
    <w:basedOn w:val="Normal"/>
    <w:rsid w:val="00B2518B"/>
    <w:pPr>
      <w:pBdr>
        <w:left w:color="auto" w:space="0" w:sz="4" w:val="single"/>
        <w:bottom w:color="auto" w:space="0" w:sz="4" w:val="single"/>
        <w:right w:color="auto" w:space="0" w:sz="4" w:val="single"/>
      </w:pBdr>
      <w:shd w:color="000000" w:fill="29f32e" w:val="clear"/>
      <w:spacing w:after="100" w:afterAutospacing="1" w:before="100" w:beforeAutospacing="1" w:line="240" w:lineRule="auto"/>
    </w:pPr>
    <w:rPr>
      <w:rFonts w:ascii="Times New Roman" w:cs="Times New Roman" w:eastAsia="Times New Roman" w:hAnsi="Times New Roman"/>
      <w:sz w:val="18"/>
      <w:szCs w:val="18"/>
      <w:lang w:eastAsia="es-ES" w:val="es-ES"/>
    </w:rPr>
  </w:style>
  <w:style w:type="paragraph" w:styleId="xl92" w:customStyle="1">
    <w:name w:val="xl92"/>
    <w:basedOn w:val="Normal"/>
    <w:rsid w:val="00B2518B"/>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93" w:customStyle="1">
    <w:name w:val="xl93"/>
    <w:basedOn w:val="Normal"/>
    <w:rsid w:val="00B2518B"/>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94" w:customStyle="1">
    <w:name w:val="xl94"/>
    <w:basedOn w:val="Normal"/>
    <w:rsid w:val="00B2518B"/>
    <w:pPr>
      <w:pBdr>
        <w:top w:color="auto" w:space="0" w:sz="4" w:val="single"/>
        <w:left w:color="auto" w:space="0" w:sz="4" w:val="single"/>
        <w:right w:color="auto" w:space="0" w:sz="4" w:val="single"/>
      </w:pBd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95" w:customStyle="1">
    <w:name w:val="xl95"/>
    <w:basedOn w:val="Normal"/>
    <w:rsid w:val="00B2518B"/>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96" w:customStyle="1">
    <w:name w:val="xl96"/>
    <w:basedOn w:val="Normal"/>
    <w:rsid w:val="00B2518B"/>
    <w:pPr>
      <w:pBdr>
        <w:left w:color="auto" w:space="0" w:sz="4" w:val="single"/>
        <w:bottom w:color="auto" w:space="0" w:sz="4" w:val="single"/>
        <w:right w:color="auto" w:space="0" w:sz="4" w:val="single"/>
      </w:pBd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97" w:customStyle="1">
    <w:name w:val="xl97"/>
    <w:basedOn w:val="Normal"/>
    <w:rsid w:val="00B2518B"/>
    <w:pPr>
      <w:pBdr>
        <w:left w:color="auto" w:space="0" w:sz="4" w:val="single"/>
        <w:bottom w:color="auto" w:space="0" w:sz="4" w:val="single"/>
        <w:right w:color="auto" w:space="0" w:sz="4" w:val="single"/>
      </w:pBdr>
      <w:shd w:color="000000" w:fill="29f32e" w:val="clear"/>
      <w:spacing w:after="100" w:afterAutospacing="1" w:before="100" w:beforeAutospacing="1" w:line="240" w:lineRule="auto"/>
      <w:jc w:val="both"/>
      <w:textAlignment w:val="center"/>
    </w:pPr>
    <w:rPr>
      <w:rFonts w:ascii="Times New Roman" w:cs="Times New Roman" w:eastAsia="Times New Roman" w:hAnsi="Times New Roman"/>
      <w:sz w:val="18"/>
      <w:szCs w:val="18"/>
      <w:lang w:eastAsia="es-ES" w:val="es-ES"/>
    </w:rPr>
  </w:style>
  <w:style w:type="paragraph" w:styleId="xl98" w:customStyle="1">
    <w:name w:val="xl98"/>
    <w:basedOn w:val="Normal"/>
    <w:rsid w:val="00B2518B"/>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99" w:customStyle="1">
    <w:name w:val="xl99"/>
    <w:basedOn w:val="Normal"/>
    <w:rsid w:val="00B2518B"/>
    <w:pPr>
      <w:pBdr>
        <w:left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00" w:customStyle="1">
    <w:name w:val="xl100"/>
    <w:basedOn w:val="Normal"/>
    <w:rsid w:val="00B2518B"/>
    <w:pPr>
      <w:pBdr>
        <w:left w:color="auto" w:space="0" w:sz="4" w:val="single"/>
        <w:bottom w:color="auto" w:space="0" w:sz="4" w:val="single"/>
        <w:right w:color="auto" w:space="0" w:sz="4"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01" w:customStyle="1">
    <w:name w:val="xl101"/>
    <w:basedOn w:val="Normal"/>
    <w:rsid w:val="00B2518B"/>
    <w:pPr>
      <w:pBdr>
        <w:top w:color="auto" w:space="0" w:sz="4" w:val="single"/>
        <w:left w:color="auto" w:space="0" w:sz="4" w:val="single"/>
        <w:bottom w:color="auto" w:space="0" w:sz="4" w:val="single"/>
        <w:right w:color="auto" w:space="0" w:sz="4"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02" w:customStyle="1">
    <w:name w:val="xl102"/>
    <w:basedOn w:val="Normal"/>
    <w:rsid w:val="00B2518B"/>
    <w:pPr>
      <w:pBdr>
        <w:top w:color="auto" w:space="0" w:sz="4" w:val="single"/>
        <w:left w:color="auto" w:space="0" w:sz="4" w:val="single"/>
        <w:right w:color="auto" w:space="0" w:sz="4"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03" w:customStyle="1">
    <w:name w:val="xl103"/>
    <w:basedOn w:val="Normal"/>
    <w:rsid w:val="00B2518B"/>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04" w:customStyle="1">
    <w:name w:val="xl104"/>
    <w:basedOn w:val="Normal"/>
    <w:rsid w:val="00B2518B"/>
    <w:pPr>
      <w:pBdr>
        <w:top w:color="auto" w:space="0" w:sz="4" w:val="single"/>
        <w:left w:color="auto" w:space="0" w:sz="8"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05" w:customStyle="1">
    <w:name w:val="xl105"/>
    <w:basedOn w:val="Normal"/>
    <w:rsid w:val="00B2518B"/>
    <w:pPr>
      <w:pBdr>
        <w:left w:color="auto" w:space="0" w:sz="8" w:val="single"/>
        <w:bottom w:color="auto" w:space="0" w:sz="4"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06" w:customStyle="1">
    <w:name w:val="xl106"/>
    <w:basedOn w:val="Normal"/>
    <w:rsid w:val="00B2518B"/>
    <w:pPr>
      <w:pBdr>
        <w:top w:color="auto" w:space="0" w:sz="4" w:val="single"/>
        <w:left w:color="auto" w:space="0" w:sz="4" w:val="single"/>
        <w:right w:color="auto" w:space="0" w:sz="4" w:val="single"/>
      </w:pBdr>
      <w:shd w:color="000000" w:fill="8497b0"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07" w:customStyle="1">
    <w:name w:val="xl107"/>
    <w:basedOn w:val="Normal"/>
    <w:rsid w:val="00B2518B"/>
    <w:pPr>
      <w:pBdr>
        <w:left w:color="auto" w:space="0" w:sz="4" w:val="single"/>
        <w:bottom w:color="auto" w:space="0" w:sz="4" w:val="single"/>
        <w:right w:color="auto" w:space="0" w:sz="4" w:val="single"/>
      </w:pBdr>
      <w:shd w:color="000000" w:fill="8497b0"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08" w:customStyle="1">
    <w:name w:val="xl108"/>
    <w:basedOn w:val="Normal"/>
    <w:rsid w:val="00B2518B"/>
    <w:pPr>
      <w:pBdr>
        <w:top w:color="auto" w:space="0" w:sz="4" w:val="single"/>
        <w:left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09" w:customStyle="1">
    <w:name w:val="xl109"/>
    <w:basedOn w:val="Normal"/>
    <w:rsid w:val="00B2518B"/>
    <w:pPr>
      <w:pBdr>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10" w:customStyle="1">
    <w:name w:val="xl110"/>
    <w:basedOn w:val="Normal"/>
    <w:rsid w:val="00B2518B"/>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11" w:customStyle="1">
    <w:name w:val="xl111"/>
    <w:basedOn w:val="Normal"/>
    <w:rsid w:val="00B2518B"/>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12" w:customStyle="1">
    <w:name w:val="xl112"/>
    <w:basedOn w:val="Normal"/>
    <w:rsid w:val="00B2518B"/>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13" w:customStyle="1">
    <w:name w:val="xl113"/>
    <w:basedOn w:val="Normal"/>
    <w:rsid w:val="00B2518B"/>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14" w:customStyle="1">
    <w:name w:val="xl114"/>
    <w:basedOn w:val="Normal"/>
    <w:rsid w:val="00B2518B"/>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15" w:customStyle="1">
    <w:name w:val="xl115"/>
    <w:basedOn w:val="Normal"/>
    <w:rsid w:val="00B2518B"/>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16" w:customStyle="1">
    <w:name w:val="xl116"/>
    <w:basedOn w:val="Normal"/>
    <w:rsid w:val="00B2518B"/>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17" w:customStyle="1">
    <w:name w:val="xl117"/>
    <w:basedOn w:val="Normal"/>
    <w:rsid w:val="00B2518B"/>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18" w:customStyle="1">
    <w:name w:val="xl118"/>
    <w:basedOn w:val="Normal"/>
    <w:rsid w:val="00B2518B"/>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19" w:customStyle="1">
    <w:name w:val="xl119"/>
    <w:basedOn w:val="Normal"/>
    <w:rsid w:val="00B2518B"/>
    <w:pPr>
      <w:pBdr>
        <w:top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20" w:customStyle="1">
    <w:name w:val="xl120"/>
    <w:basedOn w:val="Normal"/>
    <w:rsid w:val="00B2518B"/>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21" w:customStyle="1">
    <w:name w:val="xl121"/>
    <w:basedOn w:val="Normal"/>
    <w:rsid w:val="00B2518B"/>
    <w:pPr>
      <w:pBdr>
        <w:top w:color="auto" w:space="0" w:sz="4" w:val="single"/>
        <w:left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22" w:customStyle="1">
    <w:name w:val="xl122"/>
    <w:basedOn w:val="Normal"/>
    <w:rsid w:val="00B2518B"/>
    <w:pPr>
      <w:pBdr>
        <w:left w:color="auto" w:space="0" w:sz="4" w:val="single"/>
        <w:bottom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23" w:customStyle="1">
    <w:name w:val="xl123"/>
    <w:basedOn w:val="Normal"/>
    <w:rsid w:val="00B2518B"/>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24" w:customStyle="1">
    <w:name w:val="xl124"/>
    <w:basedOn w:val="Normal"/>
    <w:rsid w:val="00B2518B"/>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25" w:customStyle="1">
    <w:name w:val="xl125"/>
    <w:basedOn w:val="Normal"/>
    <w:rsid w:val="00B2518B"/>
    <w:pPr>
      <w:pBdr>
        <w:top w:color="auto" w:space="0" w:sz="8" w:val="single"/>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26" w:customStyle="1">
    <w:name w:val="xl126"/>
    <w:basedOn w:val="Normal"/>
    <w:rsid w:val="00B2518B"/>
    <w:pPr>
      <w:pBdr>
        <w:left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27" w:customStyle="1">
    <w:name w:val="xl127"/>
    <w:basedOn w:val="Normal"/>
    <w:rsid w:val="00B2518B"/>
    <w:pPr>
      <w:pBdr>
        <w:top w:color="auto" w:space="0" w:sz="8"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28" w:customStyle="1">
    <w:name w:val="xl128"/>
    <w:basedOn w:val="Normal"/>
    <w:rsid w:val="00B2518B"/>
    <w:pPr>
      <w:pBdr>
        <w:top w:color="auto" w:space="0" w:sz="8"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29" w:customStyle="1">
    <w:name w:val="xl129"/>
    <w:basedOn w:val="Normal"/>
    <w:rsid w:val="00B2518B"/>
    <w:pPr>
      <w:pBdr>
        <w:top w:color="auto" w:space="0" w:sz="8" w:val="single"/>
        <w:bottom w:color="auto" w:space="0" w:sz="4" w:val="single"/>
        <w:right w:color="auto" w:space="0" w:sz="8"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0" w:customStyle="1">
    <w:name w:val="xl130"/>
    <w:basedOn w:val="Normal"/>
    <w:rsid w:val="00B2518B"/>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1" w:customStyle="1">
    <w:name w:val="xl131"/>
    <w:basedOn w:val="Normal"/>
    <w:rsid w:val="00B2518B"/>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2" w:customStyle="1">
    <w:name w:val="xl132"/>
    <w:basedOn w:val="Normal"/>
    <w:rsid w:val="00B2518B"/>
    <w:pPr>
      <w:pBdr>
        <w:top w:color="auto" w:space="0" w:sz="4" w:val="single"/>
        <w:bottom w:color="auto" w:space="0" w:sz="4" w:val="single"/>
        <w:right w:color="auto" w:space="0" w:sz="8"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3" w:customStyle="1">
    <w:name w:val="xl133"/>
    <w:basedOn w:val="Normal"/>
    <w:rsid w:val="00B2518B"/>
    <w:pPr>
      <w:pBdr>
        <w:top w:color="auto" w:space="0" w:sz="4" w:val="single"/>
        <w:lef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4" w:customStyle="1">
    <w:name w:val="xl134"/>
    <w:basedOn w:val="Normal"/>
    <w:rsid w:val="00B2518B"/>
    <w:pPr>
      <w:pBdr>
        <w:top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5" w:customStyle="1">
    <w:name w:val="xl135"/>
    <w:basedOn w:val="Normal"/>
    <w:rsid w:val="00B2518B"/>
    <w:pPr>
      <w:pBdr>
        <w:top w:color="auto" w:space="0" w:sz="4" w:val="single"/>
        <w:right w:color="auto" w:space="0" w:sz="8"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6" w:customStyle="1">
    <w:name w:val="xl136"/>
    <w:basedOn w:val="Normal"/>
    <w:rsid w:val="00B2518B"/>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37" w:customStyle="1">
    <w:name w:val="xl137"/>
    <w:basedOn w:val="Normal"/>
    <w:rsid w:val="00B2518B"/>
    <w:pPr>
      <w:pBdr>
        <w:top w:color="auto" w:space="0" w:sz="4" w:val="single"/>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38" w:customStyle="1">
    <w:name w:val="xl138"/>
    <w:basedOn w:val="Normal"/>
    <w:rsid w:val="00B2518B"/>
    <w:pPr>
      <w:pBdr>
        <w:top w:color="auto" w:space="0" w:sz="4" w:val="single"/>
        <w:left w:color="auto" w:space="0" w:sz="8"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39" w:customStyle="1">
    <w:name w:val="xl139"/>
    <w:basedOn w:val="Normal"/>
    <w:rsid w:val="00B2518B"/>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40" w:customStyle="1">
    <w:name w:val="xl140"/>
    <w:basedOn w:val="Normal"/>
    <w:rsid w:val="00B2518B"/>
    <w:pPr>
      <w:pBdr>
        <w:top w:color="auto" w:space="0" w:sz="4" w:val="single"/>
        <w:left w:color="auto" w:space="0" w:sz="4" w:val="single"/>
        <w:bottom w:color="auto" w:space="0" w:sz="4" w:val="single"/>
        <w:right w:color="auto" w:space="0" w:sz="8" w:val="single"/>
      </w:pBdr>
      <w:shd w:color="000000" w:fill="ffffff" w:val="clear"/>
      <w:spacing w:after="100" w:afterAutospacing="1" w:before="100" w:beforeAutospacing="1" w:line="240" w:lineRule="auto"/>
      <w:textAlignment w:val="center"/>
    </w:pPr>
    <w:rPr>
      <w:rFonts w:ascii="Times New Roman" w:cs="Times New Roman" w:eastAsia="Times New Roman" w:hAnsi="Times New Roman"/>
      <w:b w:val="1"/>
      <w:bCs w:val="1"/>
      <w:sz w:val="18"/>
      <w:szCs w:val="18"/>
      <w:lang w:eastAsia="es-ES" w:val="es-ES"/>
    </w:rPr>
  </w:style>
  <w:style w:type="paragraph" w:styleId="xl141" w:customStyle="1">
    <w:name w:val="xl141"/>
    <w:basedOn w:val="Normal"/>
    <w:rsid w:val="00B2518B"/>
    <w:pPr>
      <w:pBdr>
        <w:top w:color="auto" w:space="0" w:sz="4" w:val="single"/>
        <w:left w:color="auto" w:space="0" w:sz="4" w:val="single"/>
        <w:bottom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42" w:customStyle="1">
    <w:name w:val="xl142"/>
    <w:basedOn w:val="Normal"/>
    <w:rsid w:val="00B2518B"/>
    <w:pPr>
      <w:pBdr>
        <w:top w:color="auto" w:space="0" w:sz="4" w:val="single"/>
        <w:left w:color="auto" w:space="0" w:sz="4" w:val="single"/>
        <w:bottom w:color="auto" w:space="0" w:sz="8"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43" w:customStyle="1">
    <w:name w:val="xl143"/>
    <w:basedOn w:val="Normal"/>
    <w:rsid w:val="00B2518B"/>
    <w:pPr>
      <w:pBdr>
        <w:top w:color="auto" w:space="0" w:sz="4" w:val="single"/>
        <w:left w:color="auto" w:space="0" w:sz="8"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44" w:customStyle="1">
    <w:name w:val="xl144"/>
    <w:basedOn w:val="Normal"/>
    <w:rsid w:val="00B2518B"/>
    <w:pPr>
      <w:pBdr>
        <w:top w:color="auto" w:space="0" w:sz="4" w:val="single"/>
        <w:left w:color="auto" w:space="0" w:sz="8"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45" w:customStyle="1">
    <w:name w:val="xl145"/>
    <w:basedOn w:val="Normal"/>
    <w:rsid w:val="00B2518B"/>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46" w:customStyle="1">
    <w:name w:val="xl146"/>
    <w:basedOn w:val="Normal"/>
    <w:rsid w:val="00B2518B"/>
    <w:pPr>
      <w:pBdr>
        <w:top w:color="auto" w:space="0" w:sz="8" w:val="single"/>
        <w:lef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47" w:customStyle="1">
    <w:name w:val="xl147"/>
    <w:basedOn w:val="Normal"/>
    <w:rsid w:val="00B2518B"/>
    <w:pPr>
      <w:pBdr>
        <w:top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48" w:customStyle="1">
    <w:name w:val="xl148"/>
    <w:basedOn w:val="Normal"/>
    <w:rsid w:val="00B2518B"/>
    <w:pPr>
      <w:pBdr>
        <w:top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49" w:customStyle="1">
    <w:name w:val="xl149"/>
    <w:basedOn w:val="Normal"/>
    <w:rsid w:val="00B2518B"/>
    <w:pPr>
      <w:pBdr>
        <w:lef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50" w:customStyle="1">
    <w:name w:val="xl150"/>
    <w:basedOn w:val="Normal"/>
    <w:rsid w:val="00B2518B"/>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51" w:customStyle="1">
    <w:name w:val="xl151"/>
    <w:basedOn w:val="Normal"/>
    <w:rsid w:val="00B2518B"/>
    <w:pPr>
      <w:pBdr>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52" w:customStyle="1">
    <w:name w:val="xl152"/>
    <w:basedOn w:val="Normal"/>
    <w:rsid w:val="00B2518B"/>
    <w:pPr>
      <w:pBdr>
        <w:top w:color="auto" w:space="0" w:sz="8" w:val="single"/>
        <w:lef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53" w:customStyle="1">
    <w:name w:val="xl153"/>
    <w:basedOn w:val="Normal"/>
    <w:rsid w:val="00B2518B"/>
    <w:pPr>
      <w:pBdr>
        <w:top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54" w:customStyle="1">
    <w:name w:val="xl154"/>
    <w:basedOn w:val="Normal"/>
    <w:rsid w:val="00B2518B"/>
    <w:pPr>
      <w:pBdr>
        <w:top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55" w:customStyle="1">
    <w:name w:val="xl155"/>
    <w:basedOn w:val="Normal"/>
    <w:rsid w:val="00B2518B"/>
    <w:pPr>
      <w:pBdr>
        <w:lef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56" w:customStyle="1">
    <w:name w:val="xl156"/>
    <w:basedOn w:val="Normal"/>
    <w:rsid w:val="00B2518B"/>
    <w:pP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57" w:customStyle="1">
    <w:name w:val="xl157"/>
    <w:basedOn w:val="Normal"/>
    <w:rsid w:val="00B2518B"/>
    <w:pPr>
      <w:pBdr>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58" w:customStyle="1">
    <w:name w:val="xl158"/>
    <w:basedOn w:val="Normal"/>
    <w:rsid w:val="00B2518B"/>
    <w:pPr>
      <w:pBdr>
        <w:left w:color="auto" w:space="0" w:sz="4" w:val="single"/>
        <w:bottom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59" w:customStyle="1">
    <w:name w:val="xl159"/>
    <w:basedOn w:val="Normal"/>
    <w:rsid w:val="00B2518B"/>
    <w:pPr>
      <w:pBdr>
        <w:top w:color="auto" w:space="0" w:sz="4" w:val="single"/>
        <w:left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60" w:customStyle="1">
    <w:name w:val="xl160"/>
    <w:basedOn w:val="Normal"/>
    <w:rsid w:val="00B2518B"/>
    <w:pPr>
      <w:pBdr>
        <w:top w:color="auto" w:space="0" w:sz="8" w:val="single"/>
        <w:left w:color="auto" w:space="0" w:sz="8" w:val="single"/>
        <w:bottom w:color="auto" w:space="0" w:sz="8"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61" w:customStyle="1">
    <w:name w:val="xl161"/>
    <w:basedOn w:val="Normal"/>
    <w:rsid w:val="00B2518B"/>
    <w:pPr>
      <w:pBdr>
        <w:top w:color="auto" w:space="0" w:sz="8" w:val="single"/>
        <w:bottom w:color="auto" w:space="0" w:sz="8"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62" w:customStyle="1">
    <w:name w:val="xl162"/>
    <w:basedOn w:val="Normal"/>
    <w:rsid w:val="00B2518B"/>
    <w:pPr>
      <w:pBdr>
        <w:top w:color="auto" w:space="0" w:sz="8" w:val="single"/>
        <w:bottom w:color="auto" w:space="0" w:sz="8" w:val="single"/>
        <w:right w:color="auto" w:space="0" w:sz="8"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63" w:customStyle="1">
    <w:name w:val="xl163"/>
    <w:basedOn w:val="Normal"/>
    <w:rsid w:val="00B2518B"/>
    <w:pPr>
      <w:pBdr>
        <w:left w:color="auto" w:space="0" w:sz="4" w:val="single"/>
        <w:bottom w:color="auto" w:space="0" w:sz="8"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64" w:customStyle="1">
    <w:name w:val="xl164"/>
    <w:basedOn w:val="Normal"/>
    <w:rsid w:val="00B2518B"/>
    <w:pPr>
      <w:pBdr>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65" w:customStyle="1">
    <w:name w:val="xl165"/>
    <w:basedOn w:val="Normal"/>
    <w:rsid w:val="00B2518B"/>
    <w:pPr>
      <w:pBdr>
        <w:left w:color="auto" w:space="0" w:sz="8" w:val="single"/>
        <w:bottom w:color="auto" w:space="0" w:sz="4" w:val="single"/>
        <w:right w:color="auto" w:space="0" w:sz="4"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66" w:customStyle="1">
    <w:name w:val="xl166"/>
    <w:basedOn w:val="Normal"/>
    <w:rsid w:val="00B2518B"/>
    <w:pPr>
      <w:pBdr>
        <w:top w:color="auto" w:space="0" w:sz="4" w:val="single"/>
        <w:left w:color="auto" w:space="0" w:sz="8" w:val="single"/>
        <w:right w:color="auto" w:space="0" w:sz="4"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67" w:customStyle="1">
    <w:name w:val="xl167"/>
    <w:basedOn w:val="Normal"/>
    <w:rsid w:val="00B2518B"/>
    <w:pPr>
      <w:pBdr>
        <w:left w:color="auto" w:space="0" w:sz="4" w:val="single"/>
        <w:bottom w:color="auto" w:space="0" w:sz="4" w:val="single"/>
        <w:right w:color="auto" w:space="0" w:sz="4" w:val="single"/>
      </w:pBdr>
      <w:shd w:color="000000" w:fill="88f8a5"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68" w:customStyle="1">
    <w:name w:val="xl168"/>
    <w:basedOn w:val="Normal"/>
    <w:rsid w:val="00B2518B"/>
    <w:pPr>
      <w:pBdr>
        <w:top w:color="auto" w:space="0" w:sz="4" w:val="single"/>
        <w:left w:color="auto" w:space="0" w:sz="4" w:val="single"/>
        <w:right w:color="auto" w:space="0" w:sz="4" w:val="single"/>
      </w:pBdr>
      <w:shd w:color="000000" w:fill="88f8a5"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69" w:customStyle="1">
    <w:name w:val="xl169"/>
    <w:basedOn w:val="Normal"/>
    <w:rsid w:val="00B2518B"/>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70" w:customStyle="1">
    <w:name w:val="xl170"/>
    <w:basedOn w:val="Normal"/>
    <w:rsid w:val="00B2518B"/>
    <w:pPr>
      <w:pBdr>
        <w:left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71" w:customStyle="1">
    <w:name w:val="xl171"/>
    <w:basedOn w:val="Normal"/>
    <w:rsid w:val="00B2518B"/>
    <w:pPr>
      <w:pBdr>
        <w:top w:color="auto" w:space="0" w:sz="4" w:val="single"/>
        <w:left w:color="auto" w:space="0" w:sz="4"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72" w:customStyle="1">
    <w:name w:val="xl172"/>
    <w:basedOn w:val="Normal"/>
    <w:rsid w:val="00B2518B"/>
    <w:pPr>
      <w:pBdr>
        <w:left w:color="auto" w:space="0" w:sz="4"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73" w:customStyle="1">
    <w:name w:val="xl173"/>
    <w:basedOn w:val="Normal"/>
    <w:rsid w:val="00B2518B"/>
    <w:pPr>
      <w:pBdr>
        <w:left w:color="auto" w:space="0" w:sz="4" w:val="single"/>
        <w:bottom w:color="auto" w:space="0" w:sz="4"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74" w:customStyle="1">
    <w:name w:val="xl174"/>
    <w:basedOn w:val="Normal"/>
    <w:rsid w:val="00B2518B"/>
    <w:pPr>
      <w:pBdr>
        <w:top w:color="auto" w:space="0" w:sz="8" w:val="single"/>
        <w:left w:color="auto" w:space="0" w:sz="8"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75" w:customStyle="1">
    <w:name w:val="xl175"/>
    <w:basedOn w:val="Normal"/>
    <w:rsid w:val="00B2518B"/>
    <w:pPr>
      <w:pBdr>
        <w:top w:color="auto" w:space="0" w:sz="8"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76" w:customStyle="1">
    <w:name w:val="xl176"/>
    <w:basedOn w:val="Normal"/>
    <w:rsid w:val="00B2518B"/>
    <w:pPr>
      <w:pBdr>
        <w:top w:color="auto" w:space="0" w:sz="8"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77" w:customStyle="1">
    <w:name w:val="xl177"/>
    <w:basedOn w:val="Normal"/>
    <w:rsid w:val="00B2518B"/>
    <w:pPr>
      <w:pBdr>
        <w:top w:color="auto" w:space="0" w:sz="8" w:val="single"/>
        <w:left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78" w:customStyle="1">
    <w:name w:val="xl178"/>
    <w:basedOn w:val="Normal"/>
    <w:rsid w:val="00B2518B"/>
    <w:pPr>
      <w:pBdr>
        <w:top w:color="auto" w:space="0" w:sz="4" w:val="single"/>
        <w:left w:color="auto" w:space="0" w:sz="4" w:val="single"/>
        <w:bottom w:color="auto" w:space="0" w:sz="4" w:val="single"/>
        <w:right w:color="auto" w:space="0" w:sz="4" w:val="single"/>
      </w:pBdr>
      <w:shd w:color="000000" w:fill="88f8a5"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79" w:customStyle="1">
    <w:name w:val="xl179"/>
    <w:basedOn w:val="Normal"/>
    <w:rsid w:val="00B2518B"/>
    <w:pPr>
      <w:pBdr>
        <w:top w:color="auto" w:space="0" w:sz="4" w:val="single"/>
        <w:left w:color="auto" w:space="0" w:sz="4" w:val="single"/>
        <w:bottom w:color="auto" w:space="0" w:sz="4" w:val="single"/>
        <w:right w:color="auto" w:space="0" w:sz="4" w:val="single"/>
      </w:pBdr>
      <w:shd w:color="000000" w:fill="88f8a5"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80" w:customStyle="1">
    <w:name w:val="xl180"/>
    <w:basedOn w:val="Normal"/>
    <w:rsid w:val="00B2518B"/>
    <w:pPr>
      <w:pBdr>
        <w:top w:color="auto" w:space="0" w:sz="4" w:val="single"/>
        <w:left w:color="auto" w:space="0" w:sz="4" w:val="single"/>
        <w:bottom w:color="auto" w:space="0" w:sz="4" w:val="single"/>
        <w:right w:color="auto" w:space="0" w:sz="8"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81" w:customStyle="1">
    <w:name w:val="xl181"/>
    <w:basedOn w:val="Normal"/>
    <w:rsid w:val="00B2518B"/>
    <w:pPr>
      <w:pBdr>
        <w:top w:color="auto" w:space="0" w:sz="4" w:val="single"/>
        <w:left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82" w:customStyle="1">
    <w:name w:val="xl182"/>
    <w:basedOn w:val="Normal"/>
    <w:rsid w:val="00B2518B"/>
    <w:pPr>
      <w:pBdr>
        <w:left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83" w:customStyle="1">
    <w:name w:val="xl183"/>
    <w:basedOn w:val="Normal"/>
    <w:rsid w:val="00B2518B"/>
    <w:pPr>
      <w:pBdr>
        <w:left w:color="auto" w:space="0" w:sz="4" w:val="single"/>
        <w:bottom w:color="auto" w:space="0" w:sz="4"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84" w:customStyle="1">
    <w:name w:val="xl184"/>
    <w:basedOn w:val="Normal"/>
    <w:rsid w:val="00B2518B"/>
    <w:pPr>
      <w:pBdr>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85" w:customStyle="1">
    <w:name w:val="xl185"/>
    <w:basedOn w:val="Normal"/>
    <w:rsid w:val="00B2518B"/>
    <w:pPr>
      <w:pBdr>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86" w:customStyle="1">
    <w:name w:val="xl186"/>
    <w:basedOn w:val="Normal"/>
    <w:rsid w:val="00B2518B"/>
    <w:pPr>
      <w:pBdr>
        <w:top w:color="auto" w:space="0" w:sz="8"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lang w:eastAsia="es-ES" w:val="es-ES"/>
    </w:rPr>
  </w:style>
  <w:style w:type="paragraph" w:styleId="xl187" w:customStyle="1">
    <w:name w:val="xl187"/>
    <w:basedOn w:val="Normal"/>
    <w:rsid w:val="00B2518B"/>
    <w:pPr>
      <w:pBdr>
        <w:left w:color="auto" w:space="0" w:sz="4" w:val="single"/>
        <w:bottom w:color="auto" w:space="0" w:sz="8" w:val="single"/>
        <w:right w:color="auto" w:space="0" w:sz="4" w:val="single"/>
      </w:pBd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88" w:customStyle="1">
    <w:name w:val="xl188"/>
    <w:basedOn w:val="Normal"/>
    <w:rsid w:val="00B2518B"/>
    <w:pPr>
      <w:pBdr>
        <w:top w:color="auto" w:space="0" w:sz="8" w:val="single"/>
        <w:left w:color="auto" w:space="0" w:sz="4" w:val="single"/>
        <w:right w:color="auto" w:space="0" w:sz="4" w:val="single"/>
      </w:pBdr>
      <w:shd w:color="000000" w:fill="8497b0"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89" w:customStyle="1">
    <w:name w:val="xl189"/>
    <w:basedOn w:val="Normal"/>
    <w:rsid w:val="00B2518B"/>
    <w:pPr>
      <w:pBdr>
        <w:left w:color="auto" w:space="0" w:sz="4" w:val="single"/>
        <w:bottom w:color="auto" w:space="0" w:sz="4" w:val="single"/>
        <w:right w:color="auto" w:space="0" w:sz="4" w:val="single"/>
      </w:pBdr>
      <w:shd w:color="000000" w:fill="8497b0"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xl190" w:customStyle="1">
    <w:name w:val="xl190"/>
    <w:basedOn w:val="Normal"/>
    <w:rsid w:val="00B2518B"/>
    <w:pPr>
      <w:pBdr>
        <w:top w:color="auto" w:space="0" w:sz="8" w:val="single"/>
        <w:left w:color="auto" w:space="0" w:sz="4"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91" w:customStyle="1">
    <w:name w:val="xl191"/>
    <w:basedOn w:val="Normal"/>
    <w:rsid w:val="00B2518B"/>
    <w:pPr>
      <w:pBdr>
        <w:left w:color="auto" w:space="0" w:sz="4" w:val="single"/>
        <w:bottom w:color="auto" w:space="0" w:sz="8" w:val="single"/>
        <w:right w:color="auto" w:space="0" w:sz="4" w:val="single"/>
      </w:pBdr>
      <w:shd w:color="000000" w:fill="8497b0" w:val="clea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lang w:eastAsia="es-ES" w:val="es-ES"/>
    </w:rPr>
  </w:style>
  <w:style w:type="paragraph" w:styleId="xl192" w:customStyle="1">
    <w:name w:val="xl192"/>
    <w:basedOn w:val="Normal"/>
    <w:rsid w:val="00B2518B"/>
    <w:pPr>
      <w:pBdr>
        <w:left w:color="auto" w:space="0" w:sz="4" w:val="single"/>
        <w:bottom w:color="auto" w:space="0" w:sz="8" w:val="single"/>
        <w:right w:color="auto" w:space="0" w:sz="4" w:val="single"/>
      </w:pBdr>
      <w:shd w:color="000000" w:fill="8497b0" w:val="clear"/>
      <w:spacing w:after="100" w:afterAutospacing="1" w:before="100" w:beforeAutospacing="1" w:line="240" w:lineRule="auto"/>
      <w:textAlignment w:val="center"/>
    </w:pPr>
    <w:rPr>
      <w:rFonts w:ascii="Times New Roman" w:cs="Times New Roman" w:eastAsia="Times New Roman" w:hAnsi="Times New Roman"/>
      <w:sz w:val="18"/>
      <w:szCs w:val="18"/>
      <w:lang w:eastAsia="es-ES" w:val="es-ES"/>
    </w:rPr>
  </w:style>
  <w:style w:type="paragraph" w:styleId="Header">
    <w:name w:val="header"/>
    <w:basedOn w:val="Normal"/>
    <w:link w:val="HeaderChar"/>
    <w:uiPriority w:val="99"/>
    <w:unhideWhenUsed w:val="1"/>
    <w:rsid w:val="00B2518B"/>
    <w:pPr>
      <w:tabs>
        <w:tab w:val="center" w:pos="4252"/>
        <w:tab w:val="right" w:pos="8504"/>
      </w:tabs>
      <w:spacing w:after="0" w:line="240" w:lineRule="auto"/>
    </w:pPr>
  </w:style>
  <w:style w:type="character" w:styleId="HeaderChar" w:customStyle="1">
    <w:name w:val="Header Char"/>
    <w:basedOn w:val="DefaultParagraphFont"/>
    <w:link w:val="Header"/>
    <w:uiPriority w:val="99"/>
    <w:rsid w:val="00B2518B"/>
  </w:style>
  <w:style w:type="paragraph" w:styleId="Footer">
    <w:name w:val="footer"/>
    <w:basedOn w:val="Normal"/>
    <w:link w:val="FooterChar"/>
    <w:uiPriority w:val="99"/>
    <w:unhideWhenUsed w:val="1"/>
    <w:rsid w:val="00B2518B"/>
    <w:pPr>
      <w:tabs>
        <w:tab w:val="center" w:pos="4252"/>
        <w:tab w:val="right" w:pos="8504"/>
      </w:tabs>
      <w:spacing w:after="0" w:line="240" w:lineRule="auto"/>
    </w:pPr>
  </w:style>
  <w:style w:type="character" w:styleId="FooterChar" w:customStyle="1">
    <w:name w:val="Footer Char"/>
    <w:basedOn w:val="DefaultParagraphFont"/>
    <w:link w:val="Footer"/>
    <w:uiPriority w:val="99"/>
    <w:rsid w:val="00B2518B"/>
  </w:style>
  <w:style w:type="character" w:styleId="IntenseEmphasis">
    <w:name w:val="Intense Emphasis"/>
    <w:basedOn w:val="DefaultParagraphFont"/>
    <w:uiPriority w:val="6"/>
    <w:unhideWhenUsed w:val="1"/>
    <w:qFormat w:val="1"/>
    <w:rsid w:val="007A0089"/>
    <w:rPr>
      <w:i w:val="1"/>
      <w:iCs w:val="1"/>
      <w:color w:val="833c0b" w:themeColor="accent2" w:themeShade="000080"/>
    </w:rPr>
  </w:style>
  <w:style w:type="paragraph" w:styleId="ListBullet">
    <w:name w:val="List Bullet"/>
    <w:basedOn w:val="Normal"/>
    <w:uiPriority w:val="10"/>
    <w:unhideWhenUsed w:val="1"/>
    <w:qFormat w:val="1"/>
    <w:rsid w:val="007A0089"/>
    <w:pPr>
      <w:numPr>
        <w:numId w:val="17"/>
      </w:numPr>
      <w:spacing w:after="100" w:before="100" w:line="240" w:lineRule="auto"/>
      <w:contextualSpacing w:val="1"/>
    </w:pPr>
    <w:rPr>
      <w:rFonts w:eastAsiaTheme="minorEastAsia"/>
      <w:szCs w:val="21"/>
      <w:lang w:eastAsia="ja-JP" w:val="en-US"/>
    </w:rPr>
  </w:style>
  <w:style w:type="paragraph" w:styleId="Subtitle">
    <w:name w:val="Subtitle"/>
    <w:basedOn w:val="Normal"/>
    <w:link w:val="SubtitleChar"/>
    <w:uiPriority w:val="2"/>
    <w:qFormat w:val="1"/>
    <w:rsid w:val="007A0089"/>
    <w:pPr>
      <w:spacing w:after="120" w:before="100" w:line="240" w:lineRule="auto"/>
      <w:jc w:val="right"/>
    </w:pPr>
    <w:rPr>
      <w:rFonts w:asciiTheme="majorHAnsi" w:cstheme="majorBidi" w:eastAsiaTheme="majorEastAsia" w:hAnsiTheme="majorHAnsi"/>
      <w:color w:val="44546a" w:themeColor="text2"/>
      <w:sz w:val="32"/>
      <w:szCs w:val="32"/>
      <w:lang w:eastAsia="ja-JP" w:val="en-US"/>
    </w:rPr>
  </w:style>
  <w:style w:type="character" w:styleId="SubtitleChar" w:customStyle="1">
    <w:name w:val="Subtitle Char"/>
    <w:basedOn w:val="DefaultParagraphFont"/>
    <w:link w:val="Subtitle"/>
    <w:uiPriority w:val="2"/>
    <w:rsid w:val="007A0089"/>
    <w:rPr>
      <w:rFonts w:asciiTheme="majorHAnsi" w:cstheme="majorBidi" w:eastAsiaTheme="majorEastAsia" w:hAnsiTheme="majorHAnsi"/>
      <w:color w:val="44546a" w:themeColor="text2"/>
      <w:sz w:val="32"/>
      <w:szCs w:val="32"/>
      <w:lang w:eastAsia="ja-JP" w:val="en-US"/>
    </w:rPr>
  </w:style>
  <w:style w:type="paragraph" w:styleId="Date">
    <w:name w:val="Date"/>
    <w:basedOn w:val="Normal"/>
    <w:link w:val="DateChar"/>
    <w:uiPriority w:val="3"/>
    <w:rsid w:val="007A0089"/>
    <w:pPr>
      <w:pBdr>
        <w:top w:color="44546a" w:space="1" w:sz="4" w:themeColor="text2" w:val="single"/>
      </w:pBdr>
      <w:spacing w:after="100" w:before="100" w:line="240" w:lineRule="auto"/>
      <w:contextualSpacing w:val="1"/>
      <w:jc w:val="right"/>
    </w:pPr>
    <w:rPr>
      <w:rFonts w:eastAsiaTheme="minorEastAsia"/>
      <w:szCs w:val="21"/>
      <w:lang w:eastAsia="ja-JP" w:val="en-US"/>
    </w:rPr>
  </w:style>
  <w:style w:type="character" w:styleId="DateChar" w:customStyle="1">
    <w:name w:val="Date Char"/>
    <w:basedOn w:val="DefaultParagraphFont"/>
    <w:link w:val="Date"/>
    <w:uiPriority w:val="3"/>
    <w:rsid w:val="007A0089"/>
    <w:rPr>
      <w:rFonts w:eastAsiaTheme="minorEastAsia"/>
      <w:szCs w:val="21"/>
      <w:lang w:eastAsia="ja-JP" w:val="en-US"/>
    </w:rPr>
  </w:style>
  <w:style w:type="character" w:styleId="g3" w:customStyle="1">
    <w:name w:val="g3"/>
    <w:basedOn w:val="DefaultParagraphFont"/>
    <w:rsid w:val="008C07AF"/>
  </w:style>
  <w:style w:type="character" w:styleId="Strong">
    <w:name w:val="Strong"/>
    <w:basedOn w:val="DefaultParagraphFont"/>
    <w:uiPriority w:val="22"/>
    <w:qFormat w:val="1"/>
    <w:rsid w:val="00BF36A8"/>
    <w:rPr>
      <w:b w:val="1"/>
      <w:bCs w:val="1"/>
    </w:rPr>
  </w:style>
  <w:style w:type="paragraph" w:styleId="Subtitle">
    <w:name w:val="Subtitle"/>
    <w:basedOn w:val="Normal"/>
    <w:next w:val="Normal"/>
    <w:pPr>
      <w:spacing w:after="120" w:before="100" w:line="240" w:lineRule="auto"/>
      <w:jc w:val="right"/>
    </w:pPr>
    <w:rPr>
      <w:rFonts w:ascii="Calibri" w:cs="Calibri" w:eastAsia="Calibri" w:hAnsi="Calibri"/>
      <w:color w:val="44546a"/>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gPhVxnoXH/xLriu5KVF04pOTg==">AMUW2mVZmNBqA/Fem8uYT2CwLm1rEpFfM/2bqaOzGBuyqInMj38R7/eAqU4BdM3u7yHSCyc5P8yHbjFrjAQfK+caga89T1DKGkEi7dS2e5ojY9qps+mPNa0=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2021-04-20T04:51:00Z</dcterms:created>
  <dc:creator>Sirley Johana Corredor Monsalve</dc:creator>
</cp:coreProperties>
</file>