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F6" w:rsidRDefault="000320F6" w:rsidP="00970FA5">
      <w:pPr>
        <w:spacing w:line="276" w:lineRule="auto"/>
        <w:jc w:val="both"/>
        <w:rPr>
          <w:rFonts w:ascii="Arial Narrow" w:hAnsi="Arial Narrow" w:cs="Arial"/>
          <w:b/>
          <w:color w:val="7F7F7F"/>
          <w:lang w:val="es-MX"/>
        </w:rPr>
      </w:pPr>
    </w:p>
    <w:p w:rsidR="001E0956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sz w:val="20"/>
          <w:szCs w:val="20"/>
        </w:rPr>
      </w:pPr>
      <w:r w:rsidRPr="00D63E42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inline distT="0" distB="0" distL="0" distR="0" wp14:anchorId="4362BC8F" wp14:editId="3DE88DA5">
            <wp:extent cx="1506099" cy="1447138"/>
            <wp:effectExtent l="0" t="0" r="0" b="1270"/>
            <wp:docPr id="1" name="Imagen 1" descr="Logo IDEAM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DEAM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84" cy="14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36"/>
          <w:szCs w:val="20"/>
        </w:rPr>
      </w:pPr>
      <w:r w:rsidRPr="001E0956">
        <w:rPr>
          <w:rFonts w:ascii="Arial Narrow" w:hAnsi="Arial Narrow" w:cstheme="minorHAnsi"/>
          <w:b/>
          <w:sz w:val="36"/>
          <w:szCs w:val="20"/>
        </w:rPr>
        <w:t>Instituto de Hidrología, Meteorología y Estudios Ambientales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Ministerio de Ambiente y Desarrollo Sostenible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República de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ANÁLISIS Y SEGUIMIENTO DEL PRESUPUESTO</w:t>
      </w:r>
    </w:p>
    <w:p w:rsidR="001E0956" w:rsidRPr="001E0956" w:rsidRDefault="00296E84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>
        <w:rPr>
          <w:rFonts w:ascii="Arial Narrow" w:hAnsi="Arial Narrow" w:cstheme="minorHAnsi"/>
          <w:b/>
          <w:sz w:val="28"/>
          <w:szCs w:val="20"/>
        </w:rPr>
        <w:t>ABRIL A JUNIO</w:t>
      </w:r>
      <w:r w:rsidR="001E0956" w:rsidRPr="001E0956">
        <w:rPr>
          <w:rFonts w:ascii="Arial Narrow" w:hAnsi="Arial Narrow" w:cstheme="minorHAnsi"/>
          <w:b/>
          <w:sz w:val="28"/>
          <w:szCs w:val="20"/>
        </w:rPr>
        <w:t xml:space="preserve"> DE 2019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</w:rPr>
      </w:pPr>
      <w:r w:rsidRPr="001E0956">
        <w:rPr>
          <w:rFonts w:ascii="Arial Narrow" w:hAnsi="Arial Narrow" w:cstheme="minorHAnsi"/>
          <w:b/>
        </w:rPr>
        <w:t>OFICINA ASESORA DE PLANEACIÓN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  <w:r w:rsidRPr="001E0956">
        <w:rPr>
          <w:rFonts w:ascii="Arial Narrow" w:hAnsi="Arial Narrow" w:cstheme="minorHAnsi"/>
          <w:sz w:val="20"/>
          <w:szCs w:val="20"/>
        </w:rPr>
        <w:t>www.ideam.gov.co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1E0956">
        <w:rPr>
          <w:rFonts w:ascii="Arial Narrow" w:hAnsi="Arial Narrow" w:cstheme="minorHAnsi"/>
          <w:b/>
          <w:sz w:val="20"/>
          <w:szCs w:val="20"/>
        </w:rPr>
        <w:t>Bogotá D.C.,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="Arial Narrow" w:hAnsi="Arial Narrow" w:cstheme="minorHAnsi"/>
          <w:b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C</w:t>
      </w:r>
      <w:r w:rsidR="00D64DD7" w:rsidRPr="00411D49">
        <w:rPr>
          <w:rFonts w:ascii="Arial Narrow" w:hAnsi="Arial Narrow" w:cstheme="minorHAnsi"/>
          <w:b/>
          <w:sz w:val="22"/>
          <w:szCs w:val="22"/>
        </w:rPr>
        <w:t>UERPO</w:t>
      </w:r>
      <w:r w:rsidRPr="00411D49">
        <w:rPr>
          <w:rFonts w:ascii="Arial Narrow" w:hAnsi="Arial Narrow" w:cstheme="minorHAnsi"/>
          <w:b/>
          <w:sz w:val="22"/>
          <w:szCs w:val="22"/>
        </w:rPr>
        <w:t xml:space="preserve"> DIRECTIVO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YOLANDA GONZÁLEZ FERNÁNDEZ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Directora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GALVIS BAUTISTA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Secretario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EDITH GÓNZALEZ AFANADOR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Ecosistemas e Información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DIANA MARCELA VARGAS GALVIS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Estudios Ambientales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NELSON OMAR VARGAS MARTÍNEZ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Hidrología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ELIECER DAVID DIAZ ALMANZA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Meteorología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  <w:lang w:val="es-CO"/>
        </w:rPr>
      </w:pPr>
      <w:r w:rsidRPr="00411D49">
        <w:rPr>
          <w:rFonts w:ascii="Arial Narrow" w:hAnsi="Arial Narrow" w:cstheme="minorHAnsi"/>
          <w:b/>
          <w:sz w:val="22"/>
          <w:szCs w:val="22"/>
          <w:lang w:val="es-CO"/>
        </w:rPr>
        <w:t>MERY ESPERANZA FERNÁNDEZ PORRAS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Pronóstico y Alertas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ANTONIO RAMOS SUÁREZ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Jurídica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TELLY DE JESUS MONTH PARRA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de Planeación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LEONARDO CÁRDENAS CHITIVA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Informática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MARÍA EUGENIA PATIÑO JURADO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Control Interno</w:t>
      </w:r>
    </w:p>
    <w:p w:rsidR="0065275A" w:rsidRPr="001E0956" w:rsidRDefault="0065275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58207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68C9" w:rsidRDefault="00D468C9">
          <w:pPr>
            <w:pStyle w:val="TtuloTDC"/>
          </w:pPr>
          <w:r>
            <w:rPr>
              <w:lang w:val="es-ES"/>
            </w:rPr>
            <w:t>Tabla de contenido</w:t>
          </w:r>
        </w:p>
        <w:p w:rsidR="00AE3C3D" w:rsidRDefault="00D468C9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52126" w:history="1">
            <w:r w:rsidR="00AE3C3D" w:rsidRPr="005C2CE2">
              <w:rPr>
                <w:rStyle w:val="Hipervnculo"/>
              </w:rPr>
              <w:t>APROPIACION PRESUPUESTAL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4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A100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7" w:history="1">
            <w:r w:rsidR="00AE3C3D" w:rsidRPr="005C2CE2">
              <w:rPr>
                <w:rStyle w:val="Hipervnculo"/>
              </w:rPr>
              <w:t xml:space="preserve">EJECUCIÓN PRESUPUESTAL </w:t>
            </w:r>
            <w:r w:rsidR="0033306E">
              <w:rPr>
                <w:rStyle w:val="Hipervnculo"/>
              </w:rPr>
              <w:t>ABRIL A JUNIO 30 DE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_Toc8052127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5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A100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8" w:history="1">
            <w:r w:rsidR="00AE3C3D" w:rsidRPr="005C2CE2">
              <w:rPr>
                <w:rStyle w:val="Hipervnculo"/>
              </w:rPr>
              <w:t>FUNCIONAMIENTO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_Toc8052128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6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29" w:history="1">
            <w:r w:rsidR="00AE3C3D" w:rsidRPr="005C2CE2">
              <w:rPr>
                <w:rStyle w:val="Hipervnculo"/>
                <w:noProof/>
              </w:rPr>
              <w:t>Gastos de personal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_Toc8052129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6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0" w:history="1">
            <w:r w:rsidR="00AE3C3D" w:rsidRPr="005C2CE2">
              <w:rPr>
                <w:rStyle w:val="Hipervnculo"/>
                <w:noProof/>
              </w:rPr>
              <w:t>Adquisición de bienes y servicios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_Toc8052130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7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1" w:history="1">
            <w:r w:rsidR="00AE3C3D" w:rsidRPr="005C2CE2">
              <w:rPr>
                <w:rStyle w:val="Hipervnculo"/>
                <w:noProof/>
              </w:rPr>
              <w:t>Transferencias corrientes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_Toc8052131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2" w:history="1">
            <w:r w:rsidR="00AE3C3D" w:rsidRPr="005C2CE2">
              <w:rPr>
                <w:rStyle w:val="Hipervnculo"/>
                <w:noProof/>
              </w:rPr>
              <w:t>Gastos por tributos, multas, sanciones e intereses de mora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_Toc8052132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3" w:history="1">
            <w:r w:rsidR="00AE3C3D" w:rsidRPr="005C2CE2">
              <w:rPr>
                <w:rStyle w:val="Hipervnculo"/>
              </w:rPr>
              <w:t>INVERSIÓN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_Toc8052133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9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4" w:history="1">
            <w:r w:rsidR="00AE3C3D" w:rsidRPr="005C2CE2">
              <w:rPr>
                <w:rStyle w:val="Hipervnculo"/>
                <w:noProof/>
              </w:rPr>
              <w:t>Inversión Aportes Nación (Recurso 10 y 11)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_Toc8052134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9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5" w:history="1">
            <w:r w:rsidR="00AE3C3D" w:rsidRPr="005C2CE2">
              <w:rPr>
                <w:rStyle w:val="Hipervnculo"/>
                <w:noProof/>
              </w:rPr>
              <w:t>Inversión Recursos Propios (Recurso 20)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_Toc8052135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10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6" w:history="1">
            <w:r w:rsidR="00AE3C3D" w:rsidRPr="005C2CE2">
              <w:rPr>
                <w:rStyle w:val="Hipervnculo"/>
              </w:rPr>
              <w:t>EJECUCIÓN REZAGO PRESUPUESTAL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11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7" w:history="1">
            <w:r w:rsidR="00AE3C3D" w:rsidRPr="005C2CE2">
              <w:rPr>
                <w:rStyle w:val="Hipervnculo"/>
                <w:noProof/>
              </w:rPr>
              <w:t>Reservas Presupuestales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_Toc8052137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8" w:history="1">
            <w:r w:rsidR="00AE3C3D" w:rsidRPr="005C2CE2">
              <w:rPr>
                <w:rStyle w:val="Hipervnculo"/>
                <w:noProof/>
              </w:rPr>
              <w:t>Cuentas por Pagar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_Toc8052138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0B53D2">
              <w:rPr>
                <w:noProof/>
                <w:webHidden/>
              </w:rPr>
              <w:t>13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A100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9" w:history="1">
            <w:r w:rsidR="00AE3C3D" w:rsidRPr="005C2CE2">
              <w:rPr>
                <w:rStyle w:val="Hipervnculo"/>
              </w:rPr>
              <w:t>ACCIONES TOMADAS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_Toc8052139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0B53D2">
              <w:rPr>
                <w:webHidden/>
              </w:rPr>
              <w:t>14</w:t>
            </w:r>
            <w:r w:rsidR="00AE3C3D">
              <w:rPr>
                <w:webHidden/>
              </w:rPr>
              <w:fldChar w:fldCharType="end"/>
            </w:r>
          </w:hyperlink>
        </w:p>
        <w:p w:rsidR="00D468C9" w:rsidRDefault="00D468C9">
          <w:r>
            <w:rPr>
              <w:b/>
              <w:bCs/>
            </w:rPr>
            <w:fldChar w:fldCharType="end"/>
          </w:r>
        </w:p>
      </w:sdtContent>
    </w:sdt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Pr="001E0956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Pr="00CE6BE7" w:rsidRDefault="006A1ECA" w:rsidP="00CE6BE7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b/>
          <w:sz w:val="28"/>
          <w:szCs w:val="28"/>
        </w:rPr>
        <w:br w:type="page"/>
      </w:r>
      <w:r w:rsidR="000615A3" w:rsidRPr="00CE6BE7">
        <w:rPr>
          <w:rFonts w:ascii="Arial Narrow" w:hAnsi="Arial Narrow"/>
          <w:sz w:val="22"/>
          <w:szCs w:val="22"/>
        </w:rPr>
        <w:lastRenderedPageBreak/>
        <w:t xml:space="preserve"> </w:t>
      </w:r>
      <w:bookmarkStart w:id="0" w:name="_Toc8052126"/>
      <w:r w:rsidR="001E0956" w:rsidRPr="00CE6BE7">
        <w:rPr>
          <w:rFonts w:ascii="Arial Narrow" w:hAnsi="Arial Narrow"/>
          <w:b/>
        </w:rPr>
        <w:t xml:space="preserve">APROPIACION PRESUPUESTAL </w:t>
      </w:r>
      <w:r w:rsidR="004A64ED" w:rsidRPr="00CE6BE7">
        <w:rPr>
          <w:rFonts w:ascii="Arial Narrow" w:hAnsi="Arial Narrow"/>
          <w:b/>
        </w:rPr>
        <w:t>2019</w:t>
      </w:r>
      <w:bookmarkEnd w:id="0"/>
    </w:p>
    <w:p w:rsidR="006A1ECA" w:rsidRDefault="006A1ECA" w:rsidP="006A1ECA"/>
    <w:tbl>
      <w:tblPr>
        <w:tblW w:w="9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509"/>
        <w:gridCol w:w="1509"/>
        <w:gridCol w:w="1509"/>
        <w:gridCol w:w="1509"/>
      </w:tblGrid>
      <w:tr w:rsidR="00DB085A" w:rsidTr="00DB085A">
        <w:trPr>
          <w:trHeight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B085A" w:rsidRDefault="00DB08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B085A" w:rsidRDefault="00DB08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INICIAL 2019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B085A" w:rsidRDefault="00DB08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ADICIONADA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B085A" w:rsidRDefault="00DB08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APROPIACION BLOQUEADA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B085A" w:rsidRDefault="00DB08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 SIIF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43.543.267.785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43.543.267.785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1.527.000.000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1.527.000.000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28.714.715.830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2.058.351.446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27.197.144.439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24.890.448.291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2.058.351.446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22.832.096.845</w:t>
            </w:r>
          </w:p>
        </w:tc>
      </w:tr>
      <w:tr w:rsidR="004826C6" w:rsidTr="00DB085A">
        <w:trPr>
          <w:trHeight w:val="9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21.168.538.088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2.058.351.446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19.110.186.642</w:t>
            </w:r>
          </w:p>
        </w:tc>
      </w:tr>
      <w:tr w:rsidR="004826C6" w:rsidTr="00DB085A">
        <w:trPr>
          <w:trHeight w:val="8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3.721.910.203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3.721.910.203</w:t>
            </w:r>
          </w:p>
        </w:tc>
      </w:tr>
      <w:tr w:rsidR="004826C6" w:rsidTr="00DB085A">
        <w:trPr>
          <w:trHeight w:val="3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4.365.047.594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Inversión Propios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3.824.267.539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4.365.047.594</w:t>
            </w:r>
          </w:p>
        </w:tc>
      </w:tr>
      <w:tr w:rsidR="004826C6" w:rsidTr="00DB085A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26C6" w:rsidRDefault="004826C6" w:rsidP="004826C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73.784.983.615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2.058.351.446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26C6" w:rsidRDefault="004826C6" w:rsidP="004826C6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72.267.412.224</w:t>
            </w:r>
          </w:p>
        </w:tc>
      </w:tr>
    </w:tbl>
    <w:p w:rsidR="001E0956" w:rsidRPr="00D8612F" w:rsidRDefault="00D8612F" w:rsidP="00970FA5">
      <w:pPr>
        <w:jc w:val="both"/>
        <w:rPr>
          <w:rFonts w:ascii="Arial Narrow" w:hAnsi="Arial Narrow" w:cstheme="minorHAnsi"/>
          <w:sz w:val="18"/>
          <w:szCs w:val="18"/>
        </w:rPr>
      </w:pPr>
      <w:r w:rsidRPr="00D8612F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D8612F" w:rsidRDefault="00D8612F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Conforme a la Ley 1</w:t>
      </w:r>
      <w:r w:rsidR="004A64ED">
        <w:rPr>
          <w:rFonts w:ascii="Arial Narrow" w:hAnsi="Arial Narrow" w:cstheme="minorHAnsi"/>
          <w:sz w:val="22"/>
          <w:szCs w:val="22"/>
        </w:rPr>
        <w:t>940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de </w:t>
      </w:r>
      <w:r w:rsidR="004A2A3E">
        <w:rPr>
          <w:rFonts w:ascii="Arial Narrow" w:hAnsi="Arial Narrow" w:cstheme="minorHAnsi"/>
          <w:sz w:val="22"/>
          <w:szCs w:val="22"/>
        </w:rPr>
        <w:t>noviembre</w:t>
      </w:r>
      <w:r w:rsidRPr="00A414C3">
        <w:rPr>
          <w:rFonts w:ascii="Arial Narrow" w:hAnsi="Arial Narrow" w:cstheme="minorHAnsi"/>
          <w:sz w:val="22"/>
          <w:szCs w:val="22"/>
        </w:rPr>
        <w:t xml:space="preserve"> de 201</w:t>
      </w:r>
      <w:r w:rsidR="004A2A3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, “por la cual se decreta el presupuesto de rentas y recursos de capital y Ley de apropiaciones para la vigencia fiscal del 1º. de enero al 31 de diciembre de 201</w:t>
      </w:r>
      <w:r w:rsidR="004A2A3E">
        <w:rPr>
          <w:rFonts w:ascii="Arial Narrow" w:hAnsi="Arial Narrow" w:cstheme="minorHAnsi"/>
          <w:sz w:val="22"/>
          <w:szCs w:val="22"/>
        </w:rPr>
        <w:t>9” y, el decreto No. 24</w:t>
      </w:r>
      <w:r w:rsidRPr="00A414C3">
        <w:rPr>
          <w:rFonts w:ascii="Arial Narrow" w:hAnsi="Arial Narrow" w:cstheme="minorHAnsi"/>
          <w:sz w:val="22"/>
          <w:szCs w:val="22"/>
        </w:rPr>
        <w:t>6</w:t>
      </w:r>
      <w:r w:rsidR="004A2A3E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4 de diciembre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“por el cual se liquida el presupuesto general de la nación para la vigencia fiscal de 201</w:t>
      </w:r>
      <w:r w:rsidR="004A2A3E">
        <w:rPr>
          <w:rFonts w:ascii="Arial Narrow" w:hAnsi="Arial Narrow" w:cstheme="minorHAnsi"/>
          <w:sz w:val="22"/>
          <w:szCs w:val="22"/>
        </w:rPr>
        <w:t>9</w:t>
      </w:r>
      <w:r w:rsidRPr="00A414C3">
        <w:rPr>
          <w:rFonts w:ascii="Arial Narrow" w:hAnsi="Arial Narrow" w:cstheme="minorHAnsi"/>
          <w:sz w:val="22"/>
          <w:szCs w:val="22"/>
        </w:rPr>
        <w:t>, se detallan las apropiaciones y se clasifican y definen los gastos”, el IDEAM  recibió una apropiación de $</w:t>
      </w:r>
      <w:r w:rsidR="004A2A3E">
        <w:rPr>
          <w:rFonts w:ascii="Arial Narrow" w:hAnsi="Arial Narrow" w:cstheme="minorHAnsi"/>
          <w:sz w:val="22"/>
          <w:szCs w:val="22"/>
        </w:rPr>
        <w:t>73.244.2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incluyen aporte nacional y recursos propios.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E5067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</w:t>
      </w:r>
      <w:r w:rsidR="00C043EA" w:rsidRPr="00C043EA">
        <w:rPr>
          <w:rFonts w:ascii="Arial Narrow" w:hAnsi="Arial Narrow" w:cstheme="minorHAnsi"/>
          <w:sz w:val="22"/>
          <w:szCs w:val="22"/>
        </w:rPr>
        <w:t>l año</w:t>
      </w:r>
      <w:r w:rsidR="001E0956" w:rsidRPr="00C043EA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>201</w:t>
      </w:r>
      <w:r w:rsidR="0093765E">
        <w:rPr>
          <w:rFonts w:ascii="Arial Narrow" w:hAnsi="Arial Narrow" w:cstheme="minorHAnsi"/>
          <w:sz w:val="22"/>
          <w:szCs w:val="22"/>
        </w:rPr>
        <w:t>9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se inicia con una apropiación </w:t>
      </w:r>
      <w:r w:rsidR="00425712">
        <w:rPr>
          <w:rFonts w:ascii="Arial Narrow" w:hAnsi="Arial Narrow" w:cstheme="minorHAnsi"/>
          <w:sz w:val="22"/>
          <w:szCs w:val="22"/>
        </w:rPr>
        <w:t xml:space="preserve">bloqueada </w:t>
      </w:r>
      <w:r w:rsidR="003E5067">
        <w:rPr>
          <w:rFonts w:ascii="Arial Narrow" w:hAnsi="Arial Narrow" w:cstheme="minorHAnsi"/>
          <w:sz w:val="22"/>
          <w:szCs w:val="22"/>
        </w:rPr>
        <w:t>en</w:t>
      </w:r>
      <w:r w:rsidR="00D807D8">
        <w:rPr>
          <w:rFonts w:ascii="Arial Narrow" w:hAnsi="Arial Narrow" w:cstheme="minorHAnsi"/>
          <w:sz w:val="22"/>
          <w:szCs w:val="22"/>
        </w:rPr>
        <w:t xml:space="preserve"> los recur</w:t>
      </w:r>
      <w:r w:rsidR="00065F66">
        <w:rPr>
          <w:rFonts w:ascii="Arial Narrow" w:hAnsi="Arial Narrow" w:cstheme="minorHAnsi"/>
          <w:sz w:val="22"/>
          <w:szCs w:val="22"/>
        </w:rPr>
        <w:t>sos de Inversión de $9.180.1</w:t>
      </w:r>
      <w:r w:rsidR="00D807D8">
        <w:rPr>
          <w:rFonts w:ascii="Arial Narrow" w:hAnsi="Arial Narrow" w:cstheme="minorHAnsi"/>
          <w:sz w:val="22"/>
          <w:szCs w:val="22"/>
        </w:rPr>
        <w:t>.</w:t>
      </w:r>
      <w:r w:rsidR="00F56C13" w:rsidRPr="00F56C13">
        <w:t xml:space="preserve"> </w:t>
      </w:r>
      <w:r w:rsidR="00F56C13" w:rsidRPr="00F56C13">
        <w:rPr>
          <w:rFonts w:ascii="Arial Narrow" w:hAnsi="Arial Narrow" w:cstheme="minorHAnsi"/>
          <w:sz w:val="22"/>
          <w:szCs w:val="22"/>
        </w:rPr>
        <w:t>millones</w:t>
      </w:r>
      <w:r w:rsidR="00F56C13">
        <w:rPr>
          <w:rFonts w:ascii="Arial Narrow" w:hAnsi="Arial Narrow" w:cstheme="minorHAnsi"/>
          <w:sz w:val="22"/>
          <w:szCs w:val="22"/>
        </w:rPr>
        <w:t>.</w:t>
      </w:r>
      <w:r w:rsidR="003E5067">
        <w:rPr>
          <w:rFonts w:ascii="Arial Narrow" w:hAnsi="Arial Narrow" w:cstheme="minorHAnsi"/>
          <w:sz w:val="22"/>
          <w:szCs w:val="22"/>
        </w:rPr>
        <w:t xml:space="preserve"> </w:t>
      </w:r>
      <w:r w:rsidR="003E5067" w:rsidRPr="003E5067">
        <w:rPr>
          <w:rFonts w:ascii="Arial Narrow" w:hAnsi="Arial Narrow" w:cstheme="minorHAnsi"/>
          <w:sz w:val="22"/>
          <w:szCs w:val="22"/>
        </w:rPr>
        <w:t>La mayor parte ocurre en el proyecto de Fortalecimiento de la gestión del conocimiento hidrológico, meteorológico y ambiental nacional con 8.566 millones de pesos seguido del proyecto de Fortalecimiento de la gestión y dirección del sector ambiente y desarrollo sostenible con 613 millones de pesos</w:t>
      </w:r>
      <w:r w:rsidR="003E5067">
        <w:rPr>
          <w:rFonts w:ascii="Arial Narrow" w:hAnsi="Arial Narrow" w:cstheme="minorHAnsi"/>
          <w:sz w:val="22"/>
          <w:szCs w:val="22"/>
        </w:rPr>
        <w:t>.</w:t>
      </w:r>
    </w:p>
    <w:p w:rsidR="00382ECE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590CA0" w:rsidRDefault="007532C6" w:rsidP="00A565EA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</w:t>
      </w:r>
      <w:r w:rsidR="00382ECE">
        <w:rPr>
          <w:rFonts w:ascii="Arial Narrow" w:hAnsi="Arial Narrow" w:cstheme="minorHAnsi"/>
          <w:sz w:val="22"/>
          <w:szCs w:val="22"/>
        </w:rPr>
        <w:t xml:space="preserve"> finales de</w:t>
      </w:r>
      <w:r>
        <w:rPr>
          <w:rFonts w:ascii="Arial Narrow" w:hAnsi="Arial Narrow" w:cstheme="minorHAnsi"/>
          <w:sz w:val="22"/>
          <w:szCs w:val="22"/>
        </w:rPr>
        <w:t xml:space="preserve">l </w:t>
      </w:r>
      <w:r w:rsidR="00256387">
        <w:rPr>
          <w:rFonts w:ascii="Arial Narrow" w:hAnsi="Arial Narrow" w:cstheme="minorHAnsi"/>
          <w:sz w:val="22"/>
          <w:szCs w:val="22"/>
        </w:rPr>
        <w:t>segundo</w:t>
      </w:r>
      <w:r>
        <w:rPr>
          <w:rFonts w:ascii="Arial Narrow" w:hAnsi="Arial Narrow" w:cstheme="minorHAnsi"/>
          <w:sz w:val="22"/>
          <w:szCs w:val="22"/>
        </w:rPr>
        <w:t xml:space="preserve"> trimestre de 2019 el bloqueo de los recursos </w:t>
      </w:r>
      <w:r w:rsidR="00382ECE">
        <w:rPr>
          <w:rFonts w:ascii="Arial Narrow" w:hAnsi="Arial Narrow" w:cstheme="minorHAnsi"/>
          <w:sz w:val="22"/>
          <w:szCs w:val="22"/>
        </w:rPr>
        <w:t>desciende a $2.058.</w:t>
      </w:r>
      <w:r w:rsidR="00F56C13">
        <w:rPr>
          <w:rFonts w:ascii="Arial Narrow" w:hAnsi="Arial Narrow" w:cstheme="minorHAnsi"/>
          <w:sz w:val="22"/>
          <w:szCs w:val="22"/>
        </w:rPr>
        <w:t>3 millones</w:t>
      </w:r>
      <w:r w:rsidR="00F56C13"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>
        <w:rPr>
          <w:rFonts w:ascii="Arial Narrow" w:hAnsi="Arial Narrow" w:cstheme="minorHAnsi"/>
          <w:sz w:val="22"/>
          <w:szCs w:val="22"/>
        </w:rPr>
        <w:t xml:space="preserve"> y </w:t>
      </w:r>
      <w:r w:rsidRPr="003E5067">
        <w:rPr>
          <w:rFonts w:ascii="Arial Narrow" w:hAnsi="Arial Narrow" w:cstheme="minorHAnsi"/>
          <w:sz w:val="22"/>
          <w:szCs w:val="22"/>
        </w:rPr>
        <w:t>el proyecto de Fortalecimiento de la gestión y dirección del sector ambiente y desarrollo sostenible</w:t>
      </w:r>
      <w:r>
        <w:rPr>
          <w:rFonts w:ascii="Arial Narrow" w:hAnsi="Arial Narrow" w:cstheme="minorHAnsi"/>
          <w:sz w:val="22"/>
          <w:szCs w:val="22"/>
        </w:rPr>
        <w:t xml:space="preserve"> fue desbloqueado en su totalidad.</w:t>
      </w:r>
      <w:r w:rsidR="00A565EA">
        <w:rPr>
          <w:rFonts w:ascii="Arial Narrow" w:hAnsi="Arial Narrow" w:cstheme="minorHAnsi"/>
          <w:sz w:val="22"/>
          <w:szCs w:val="22"/>
        </w:rPr>
        <w:t xml:space="preserve">  </w:t>
      </w:r>
    </w:p>
    <w:p w:rsidR="00590CA0" w:rsidRDefault="00590CA0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044A5F" w:rsidRDefault="00A565EA" w:rsidP="00A565EA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Mediante Acuerdo 160 del 16 de mayo de 2019, se efectúa la adición presupuestal de recursos del presupuesto de Inversión, recurso 20 del IDEAM, </w:t>
      </w:r>
      <w:r w:rsidR="00590CA0">
        <w:rPr>
          <w:rFonts w:ascii="Arial Narrow" w:hAnsi="Arial Narrow" w:cstheme="minorHAnsi"/>
          <w:sz w:val="22"/>
          <w:szCs w:val="22"/>
        </w:rPr>
        <w:t xml:space="preserve">al proyecto </w:t>
      </w:r>
      <w:r w:rsidR="00590CA0" w:rsidRPr="00590CA0">
        <w:rPr>
          <w:rFonts w:ascii="Arial Narrow" w:hAnsi="Arial Narrow" w:cstheme="minorHAnsi"/>
          <w:sz w:val="22"/>
          <w:szCs w:val="22"/>
        </w:rPr>
        <w:t xml:space="preserve">Fortalecimiento de la gestión del conocimiento hidrológico, meteorológico y ambiental </w:t>
      </w:r>
      <w:r w:rsidR="00B05F92">
        <w:rPr>
          <w:rFonts w:ascii="Arial Narrow" w:hAnsi="Arial Narrow" w:cstheme="minorHAnsi"/>
          <w:sz w:val="22"/>
          <w:szCs w:val="22"/>
        </w:rPr>
        <w:t xml:space="preserve">por </w:t>
      </w:r>
      <w:r w:rsidR="00B05F92" w:rsidRPr="006A3E70">
        <w:rPr>
          <w:rFonts w:ascii="Arial Narrow" w:hAnsi="Arial Narrow" w:cstheme="minorHAnsi"/>
          <w:sz w:val="22"/>
          <w:szCs w:val="22"/>
        </w:rPr>
        <w:t>el valor de QUINIENTOS CUARENTA MILLONES SETECIENTOS OCHENTA MIL CINCUENTA Y CINCO PESOS ($ 540.780.055)</w:t>
      </w:r>
      <w:r w:rsidR="00B05F92">
        <w:rPr>
          <w:rFonts w:ascii="Arial Narrow" w:hAnsi="Arial Narrow"/>
          <w:bCs/>
          <w:sz w:val="20"/>
          <w:szCs w:val="20"/>
        </w:rPr>
        <w:t xml:space="preserve"> </w:t>
      </w:r>
      <w:r w:rsidR="00590CA0">
        <w:rPr>
          <w:rFonts w:ascii="Arial Narrow" w:hAnsi="Arial Narrow" w:cstheme="minorHAnsi"/>
          <w:sz w:val="22"/>
          <w:szCs w:val="22"/>
        </w:rPr>
        <w:t xml:space="preserve">para cumplir con las metas suscritas en el SUIFP, </w:t>
      </w:r>
      <w:r w:rsidR="004E4559">
        <w:rPr>
          <w:rFonts w:ascii="Arial Narrow" w:hAnsi="Arial Narrow" w:cstheme="minorHAnsi"/>
          <w:sz w:val="22"/>
          <w:szCs w:val="22"/>
        </w:rPr>
        <w:t xml:space="preserve">que para tal efecto se suscribió el Convenio </w:t>
      </w:r>
      <w:r w:rsidR="00044A5F">
        <w:rPr>
          <w:rFonts w:ascii="Arial Narrow" w:hAnsi="Arial Narrow" w:cstheme="minorHAnsi"/>
          <w:sz w:val="22"/>
          <w:szCs w:val="22"/>
        </w:rPr>
        <w:t>Interadministrativo No. 863 de 2019 con el Fondo Nacional Ambiental FONAM – Autoridad Nacional de Licencias Ambientales ANLA y el Instituto de Hidrología, Meteorología y Estudios Ambientales IDEAM</w:t>
      </w:r>
      <w:r w:rsidR="00B05F92">
        <w:rPr>
          <w:rFonts w:ascii="Arial Narrow" w:hAnsi="Arial Narrow" w:cstheme="minorHAnsi"/>
          <w:sz w:val="22"/>
          <w:szCs w:val="22"/>
        </w:rPr>
        <w:t>.</w:t>
      </w:r>
    </w:p>
    <w:p w:rsidR="001E0956" w:rsidRPr="00E66FA4" w:rsidRDefault="00590CA0" w:rsidP="00E66FA4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E66FA4">
        <w:rPr>
          <w:rFonts w:ascii="Arial Narrow" w:hAnsi="Arial Narrow" w:cstheme="minorHAnsi"/>
          <w:b/>
          <w:sz w:val="22"/>
          <w:szCs w:val="22"/>
        </w:rPr>
        <w:lastRenderedPageBreak/>
        <w:t xml:space="preserve"> </w:t>
      </w:r>
      <w:bookmarkStart w:id="1" w:name="_Toc8052127"/>
      <w:r w:rsidR="001E0956" w:rsidRPr="00E66FA4">
        <w:rPr>
          <w:b/>
        </w:rPr>
        <w:t xml:space="preserve">EJECUCIÓN PRESUPUESTAL </w:t>
      </w:r>
      <w:r w:rsidR="0033306E" w:rsidRPr="00E66FA4">
        <w:rPr>
          <w:b/>
        </w:rPr>
        <w:t>ABRIL A JUNIO 30 DE 2019</w:t>
      </w:r>
      <w:bookmarkEnd w:id="1"/>
    </w:p>
    <w:p w:rsidR="00D468C9" w:rsidRDefault="00D468C9" w:rsidP="00D468C9"/>
    <w:p w:rsidR="00D468C9" w:rsidRPr="00D468C9" w:rsidRDefault="00D468C9" w:rsidP="00D468C9"/>
    <w:p w:rsidR="001E0956" w:rsidRPr="00A414C3" w:rsidRDefault="001E0956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970FA5">
      <w:pPr>
        <w:pStyle w:val="Ttulo"/>
        <w:numPr>
          <w:ilvl w:val="0"/>
          <w:numId w:val="12"/>
        </w:numPr>
        <w:jc w:val="both"/>
        <w:rPr>
          <w:rFonts w:ascii="Arial Narrow" w:hAnsi="Arial Narrow" w:cstheme="minorHAnsi"/>
          <w:sz w:val="22"/>
          <w:szCs w:val="22"/>
        </w:rPr>
      </w:pPr>
      <w:bookmarkStart w:id="2" w:name="_Toc449435612"/>
      <w:r w:rsidRPr="00A414C3">
        <w:rPr>
          <w:rFonts w:ascii="Arial Narrow" w:hAnsi="Arial Narrow" w:cstheme="minorHAnsi"/>
          <w:sz w:val="22"/>
          <w:szCs w:val="22"/>
        </w:rPr>
        <w:t>VALORES Y PORCENTAJES</w:t>
      </w:r>
      <w:bookmarkEnd w:id="2"/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485128" w:rsidRDefault="00485128" w:rsidP="00485128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485128" w:rsidRDefault="00485128" w:rsidP="00485128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182"/>
        <w:gridCol w:w="1182"/>
        <w:gridCol w:w="928"/>
        <w:gridCol w:w="1167"/>
        <w:gridCol w:w="1167"/>
        <w:gridCol w:w="788"/>
        <w:gridCol w:w="1321"/>
      </w:tblGrid>
      <w:tr w:rsidR="00485128" w:rsidTr="007F3B4E">
        <w:trPr>
          <w:trHeight w:val="18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485128" w:rsidTr="007F3B4E">
        <w:trPr>
          <w:trHeight w:val="9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26.950.064.162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18.287.410.233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18.287.410.233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18.120.203.623 </w:t>
            </w:r>
          </w:p>
        </w:tc>
      </w:tr>
      <w:tr w:rsidR="00485128" w:rsidTr="007F3B4E">
        <w:trPr>
          <w:trHeight w:val="1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28.714.715.830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15.806.815.348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5.020.463.268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5.020.463.268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12.907.900.483 </w:t>
            </w:r>
          </w:p>
        </w:tc>
      </w:tr>
      <w:tr w:rsidR="00485128" w:rsidTr="007F3B4E">
        <w:trPr>
          <w:trHeight w:val="1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73.784.983.615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42.756.879.509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23.307.873.501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23.307.873.501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7F3B4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31.028.104.106 </w:t>
            </w:r>
          </w:p>
        </w:tc>
      </w:tr>
    </w:tbl>
    <w:p w:rsidR="001E0956" w:rsidRPr="00E134CF" w:rsidRDefault="001E0956" w:rsidP="00485128">
      <w:pPr>
        <w:pStyle w:val="Ttulo"/>
        <w:jc w:val="both"/>
        <w:rPr>
          <w:rFonts w:ascii="Arial Narrow" w:hAnsi="Arial Narrow"/>
          <w:noProof/>
          <w:sz w:val="16"/>
          <w:szCs w:val="16"/>
          <w:lang w:val="es-CO" w:eastAsia="es-CO"/>
        </w:rPr>
      </w:pPr>
      <w:r w:rsidRPr="00E134CF">
        <w:rPr>
          <w:rFonts w:ascii="Arial Narrow" w:hAnsi="Arial Narrow" w:cstheme="minorHAnsi"/>
          <w:b w:val="0"/>
          <w:sz w:val="16"/>
          <w:szCs w:val="16"/>
        </w:rPr>
        <w:t xml:space="preserve">FUENTE: SIIF NACION II </w:t>
      </w:r>
      <w:r w:rsidR="00E06C44" w:rsidRPr="00E134CF">
        <w:rPr>
          <w:rFonts w:ascii="Arial Narrow" w:hAnsi="Arial Narrow" w:cstheme="minorHAnsi"/>
          <w:b w:val="0"/>
          <w:sz w:val="16"/>
          <w:szCs w:val="16"/>
        </w:rPr>
        <w:t>- Grupo de Presupuesto IDEAM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ind w:left="426"/>
        <w:jc w:val="both"/>
        <w:rPr>
          <w:rFonts w:ascii="Arial Narrow" w:hAnsi="Arial Narrow" w:cstheme="minorHAnsi"/>
          <w:sz w:val="22"/>
          <w:szCs w:val="22"/>
          <w:lang w:eastAsia="x-none"/>
        </w:rPr>
      </w:pPr>
    </w:p>
    <w:p w:rsidR="001E0956" w:rsidRPr="009B0C0E" w:rsidRDefault="001E0956" w:rsidP="00970FA5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la vigencia 201</w:t>
      </w:r>
      <w:r w:rsidR="001A4EDE" w:rsidRPr="009B0C0E">
        <w:rPr>
          <w:rFonts w:ascii="Arial Narrow" w:hAnsi="Arial Narrow" w:cstheme="minorHAnsi"/>
          <w:sz w:val="22"/>
          <w:szCs w:val="22"/>
        </w:rPr>
        <w:t>9</w:t>
      </w:r>
      <w:r w:rsidRPr="009B0C0E">
        <w:rPr>
          <w:rFonts w:ascii="Arial Narrow" w:hAnsi="Arial Narrow" w:cstheme="minorHAnsi"/>
          <w:sz w:val="22"/>
          <w:szCs w:val="22"/>
        </w:rPr>
        <w:t xml:space="preserve"> los compromisos con corte a </w:t>
      </w:r>
      <w:r w:rsidR="000B5AFB">
        <w:rPr>
          <w:rFonts w:ascii="Arial Narrow" w:hAnsi="Arial Narrow" w:cstheme="minorHAnsi"/>
          <w:sz w:val="22"/>
          <w:szCs w:val="22"/>
        </w:rPr>
        <w:t>30 de junio</w:t>
      </w:r>
      <w:r w:rsidRPr="009B0C0E">
        <w:rPr>
          <w:rFonts w:ascii="Arial Narrow" w:hAnsi="Arial Narrow" w:cstheme="minorHAnsi"/>
          <w:sz w:val="22"/>
          <w:szCs w:val="22"/>
        </w:rPr>
        <w:t xml:space="preserve"> llegaron al </w:t>
      </w:r>
      <w:r w:rsidR="00652468">
        <w:rPr>
          <w:rFonts w:ascii="Arial Narrow" w:hAnsi="Arial Narrow" w:cstheme="minorHAnsi"/>
          <w:sz w:val="22"/>
          <w:szCs w:val="22"/>
        </w:rPr>
        <w:t>58</w:t>
      </w:r>
      <w:r w:rsidR="00B554CD">
        <w:rPr>
          <w:rFonts w:ascii="Arial Narrow" w:hAnsi="Arial Narrow" w:cstheme="minorHAnsi"/>
          <w:sz w:val="22"/>
          <w:szCs w:val="22"/>
        </w:rPr>
        <w:t xml:space="preserve">% </w:t>
      </w:r>
      <w:r w:rsidRPr="009B0C0E">
        <w:rPr>
          <w:rFonts w:ascii="Arial Narrow" w:hAnsi="Arial Narrow" w:cstheme="minorHAnsi"/>
          <w:sz w:val="22"/>
          <w:szCs w:val="22"/>
        </w:rPr>
        <w:t xml:space="preserve">de </w:t>
      </w:r>
      <w:r w:rsidR="00B359FB" w:rsidRPr="009B0C0E">
        <w:rPr>
          <w:rFonts w:ascii="Arial Narrow" w:hAnsi="Arial Narrow" w:cstheme="minorHAnsi"/>
          <w:sz w:val="22"/>
          <w:szCs w:val="22"/>
        </w:rPr>
        <w:t>l</w:t>
      </w:r>
      <w:r w:rsidRPr="009B0C0E">
        <w:rPr>
          <w:rFonts w:ascii="Arial Narrow" w:hAnsi="Arial Narrow" w:cstheme="minorHAnsi"/>
          <w:sz w:val="22"/>
          <w:szCs w:val="22"/>
        </w:rPr>
        <w:t>a apropiación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 vigente</w:t>
      </w:r>
      <w:r w:rsidR="00B554CD">
        <w:rPr>
          <w:rFonts w:ascii="Arial Narrow" w:hAnsi="Arial Narrow" w:cstheme="minorHAnsi"/>
          <w:sz w:val="22"/>
          <w:szCs w:val="22"/>
        </w:rPr>
        <w:t xml:space="preserve">; </w:t>
      </w:r>
      <w:r w:rsidRPr="009B0C0E">
        <w:rPr>
          <w:rFonts w:ascii="Arial Narrow" w:hAnsi="Arial Narrow" w:cstheme="minorHAnsi"/>
          <w:sz w:val="22"/>
          <w:szCs w:val="22"/>
        </w:rPr>
        <w:t>se reali</w:t>
      </w:r>
      <w:r w:rsidR="00CF35D6" w:rsidRPr="009B0C0E">
        <w:rPr>
          <w:rFonts w:ascii="Arial Narrow" w:hAnsi="Arial Narrow" w:cstheme="minorHAnsi"/>
          <w:sz w:val="22"/>
          <w:szCs w:val="22"/>
        </w:rPr>
        <w:t>z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aron pagos que representan el </w:t>
      </w:r>
      <w:r w:rsidR="00652468">
        <w:rPr>
          <w:rFonts w:ascii="Arial Narrow" w:hAnsi="Arial Narrow" w:cstheme="minorHAnsi"/>
          <w:sz w:val="22"/>
          <w:szCs w:val="22"/>
        </w:rPr>
        <w:t>5</w:t>
      </w:r>
      <w:r w:rsidR="00B359FB" w:rsidRPr="009B0C0E">
        <w:rPr>
          <w:rFonts w:ascii="Arial Narrow" w:hAnsi="Arial Narrow" w:cstheme="minorHAnsi"/>
          <w:sz w:val="22"/>
          <w:szCs w:val="22"/>
        </w:rPr>
        <w:t>5</w:t>
      </w:r>
      <w:r w:rsidRPr="009B0C0E">
        <w:rPr>
          <w:rFonts w:ascii="Arial Narrow" w:hAnsi="Arial Narrow" w:cstheme="minorHAnsi"/>
          <w:sz w:val="22"/>
          <w:szCs w:val="22"/>
        </w:rPr>
        <w:t>% de lo comprometido lo cual indica la eficiencia en el cumplimiento de los compromisos, teniendo en cuenta que en enero se realizaron las contrataciones de personal y de bienes y servicios.</w:t>
      </w:r>
    </w:p>
    <w:p w:rsidR="001E0956" w:rsidRPr="00BD0A69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BD0D50" w:rsidRPr="009B0C0E" w:rsidRDefault="00BD0D50" w:rsidP="00BD0D50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 xml:space="preserve">En Funcionamiento de $45.070.2 millones apropiados, </w:t>
      </w:r>
      <w:r w:rsidR="006E0478">
        <w:rPr>
          <w:rFonts w:ascii="Arial Narrow" w:hAnsi="Arial Narrow" w:cstheme="minorHAnsi"/>
          <w:sz w:val="22"/>
          <w:szCs w:val="22"/>
        </w:rPr>
        <w:t xml:space="preserve">corresponden </w:t>
      </w:r>
      <w:r w:rsidRPr="009B0C0E">
        <w:rPr>
          <w:rFonts w:ascii="Arial Narrow" w:hAnsi="Arial Narrow" w:cstheme="minorHAnsi"/>
          <w:sz w:val="22"/>
          <w:szCs w:val="22"/>
        </w:rPr>
        <w:t xml:space="preserve">$1.527 millones </w:t>
      </w:r>
      <w:r w:rsidR="006E0478">
        <w:rPr>
          <w:rFonts w:ascii="Arial Narrow" w:hAnsi="Arial Narrow" w:cstheme="minorHAnsi"/>
          <w:sz w:val="22"/>
          <w:szCs w:val="22"/>
        </w:rPr>
        <w:t>a</w:t>
      </w:r>
      <w:r w:rsidRPr="009B0C0E">
        <w:rPr>
          <w:rFonts w:ascii="Arial Narrow" w:hAnsi="Arial Narrow" w:cstheme="minorHAnsi"/>
          <w:sz w:val="22"/>
          <w:szCs w:val="22"/>
        </w:rPr>
        <w:t xml:space="preserve"> recursos propios, para financiar una parte de la adquisición de bienes y servicios y el pago de gastos por tributos y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9B0C0E">
        <w:rPr>
          <w:rFonts w:ascii="Arial Narrow" w:hAnsi="Arial Narrow" w:cstheme="minorHAnsi"/>
          <w:sz w:val="22"/>
          <w:szCs w:val="22"/>
        </w:rPr>
        <w:t xml:space="preserve">multas, recursos que corresponden a excedentes financieros. </w:t>
      </w:r>
    </w:p>
    <w:p w:rsidR="001E0956" w:rsidRDefault="001E0956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                                                                   </w:t>
      </w:r>
    </w:p>
    <w:p w:rsidR="006A1ECA" w:rsidRDefault="006A1ECA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</w:p>
    <w:p w:rsidR="006A1ECA" w:rsidRPr="00A414C3" w:rsidRDefault="002F77CA" w:rsidP="007954D0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s-CO" w:eastAsia="es-CO"/>
        </w:rPr>
        <w:br w:type="page"/>
      </w:r>
    </w:p>
    <w:p w:rsidR="001E0956" w:rsidRDefault="001E0956" w:rsidP="00E205FF">
      <w:pPr>
        <w:pStyle w:val="Ttulo1"/>
      </w:pPr>
      <w:bookmarkStart w:id="3" w:name="_Toc8052128"/>
      <w:r w:rsidRPr="00A414C3">
        <w:lastRenderedPageBreak/>
        <w:t>FUNCIONAMIENTO</w:t>
      </w:r>
      <w:bookmarkEnd w:id="3"/>
      <w:r w:rsidR="00E134CF">
        <w:t xml:space="preserve"> </w:t>
      </w:r>
    </w:p>
    <w:p w:rsidR="007B163A" w:rsidRPr="007B163A" w:rsidRDefault="007B163A" w:rsidP="007B163A"/>
    <w:p w:rsidR="007B163A" w:rsidRPr="007B163A" w:rsidRDefault="007B163A" w:rsidP="007B163A"/>
    <w:p w:rsidR="00D468C9" w:rsidRDefault="00D468C9" w:rsidP="006A1ECA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242"/>
        <w:gridCol w:w="1182"/>
        <w:gridCol w:w="928"/>
        <w:gridCol w:w="1167"/>
        <w:gridCol w:w="1167"/>
        <w:gridCol w:w="788"/>
        <w:gridCol w:w="1321"/>
      </w:tblGrid>
      <w:tr w:rsidR="00485128" w:rsidTr="00485128">
        <w:trPr>
          <w:trHeight w:val="58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485128" w:rsidTr="00485128">
        <w:trPr>
          <w:trHeight w:val="19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26.950.064.162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18.287.410.233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18.287.410.233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18.120.203.623 </w:t>
            </w:r>
          </w:p>
        </w:tc>
      </w:tr>
      <w:tr w:rsidR="00485128" w:rsidTr="00485128">
        <w:trPr>
          <w:trHeight w:val="29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5128" w:rsidRDefault="004851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43.543.267.785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25.971.023.954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17.899.650.465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17.899.650.465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17.572.243.831 </w:t>
            </w:r>
          </w:p>
        </w:tc>
      </w:tr>
      <w:tr w:rsidR="00485128" w:rsidTr="00485128">
        <w:trPr>
          <w:trHeight w:val="29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5128" w:rsidRDefault="004851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1.527.000.000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979.040.208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387.759.768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387.759.768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5128" w:rsidRDefault="00485128" w:rsidP="004851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547.959.792 </w:t>
            </w:r>
          </w:p>
        </w:tc>
      </w:tr>
    </w:tbl>
    <w:p w:rsidR="007B472D" w:rsidRPr="00E134CF" w:rsidRDefault="007B472D" w:rsidP="007B472D">
      <w:pPr>
        <w:pStyle w:val="Prrafodelista"/>
        <w:ind w:left="858" w:hanging="432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9B0C0E" w:rsidRPr="00BD0A69" w:rsidRDefault="009B0C0E" w:rsidP="009B0C0E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9B0C0E" w:rsidRPr="00D6729B" w:rsidRDefault="009B0C0E" w:rsidP="009B0C0E">
      <w:pPr>
        <w:jc w:val="both"/>
        <w:rPr>
          <w:rFonts w:ascii="Arial Narrow" w:hAnsi="Arial Narrow" w:cstheme="minorHAnsi"/>
          <w:sz w:val="22"/>
          <w:szCs w:val="22"/>
        </w:rPr>
      </w:pPr>
      <w:r w:rsidRPr="0075368B">
        <w:rPr>
          <w:rFonts w:ascii="Arial Narrow" w:hAnsi="Arial Narrow" w:cstheme="minorHAnsi"/>
          <w:sz w:val="22"/>
          <w:szCs w:val="22"/>
        </w:rPr>
        <w:t>En ejecución funcionamiento al final del trim</w:t>
      </w:r>
      <w:r w:rsidR="006E0478" w:rsidRPr="0075368B">
        <w:rPr>
          <w:rFonts w:ascii="Arial Narrow" w:hAnsi="Arial Narrow" w:cstheme="minorHAnsi"/>
          <w:sz w:val="22"/>
          <w:szCs w:val="22"/>
        </w:rPr>
        <w:t>estre se realizaron compromisos p</w:t>
      </w:r>
      <w:r w:rsidRPr="0075368B">
        <w:rPr>
          <w:rFonts w:ascii="Arial Narrow" w:hAnsi="Arial Narrow" w:cstheme="minorHAnsi"/>
          <w:sz w:val="22"/>
          <w:szCs w:val="22"/>
        </w:rPr>
        <w:t>or $</w:t>
      </w:r>
      <w:r w:rsidR="008C6A85">
        <w:rPr>
          <w:rFonts w:ascii="Arial Narrow" w:hAnsi="Arial Narrow" w:cstheme="minorHAnsi"/>
          <w:sz w:val="22"/>
          <w:szCs w:val="22"/>
        </w:rPr>
        <w:t>26.950</w:t>
      </w:r>
      <w:r w:rsidRPr="0075368B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652468">
        <w:rPr>
          <w:rFonts w:ascii="Arial Narrow" w:hAnsi="Arial Narrow" w:cstheme="minorHAnsi"/>
          <w:sz w:val="22"/>
          <w:szCs w:val="22"/>
        </w:rPr>
        <w:t>60</w:t>
      </w:r>
      <w:r w:rsidRPr="00D6729B">
        <w:rPr>
          <w:rFonts w:ascii="Arial Narrow" w:hAnsi="Arial Narrow" w:cstheme="minorHAnsi"/>
          <w:sz w:val="22"/>
          <w:szCs w:val="22"/>
        </w:rPr>
        <w:t xml:space="preserve">% de la apropiación y se realizaron pagos por </w:t>
      </w:r>
      <w:r w:rsidR="0075368B" w:rsidRPr="00D6729B">
        <w:rPr>
          <w:rFonts w:ascii="Arial Narrow" w:hAnsi="Arial Narrow" w:cstheme="minorHAnsi"/>
          <w:sz w:val="22"/>
          <w:szCs w:val="22"/>
        </w:rPr>
        <w:t>$</w:t>
      </w:r>
      <w:r w:rsidR="00652468">
        <w:rPr>
          <w:rFonts w:ascii="Arial Narrow" w:hAnsi="Arial Narrow" w:cstheme="minorHAnsi"/>
          <w:sz w:val="22"/>
          <w:szCs w:val="22"/>
        </w:rPr>
        <w:t xml:space="preserve">18.287.4 </w:t>
      </w:r>
      <w:r w:rsidR="00F56C13" w:rsidRPr="00A414C3">
        <w:rPr>
          <w:rFonts w:ascii="Arial Narrow" w:hAnsi="Arial Narrow" w:cstheme="minorHAnsi"/>
          <w:sz w:val="22"/>
          <w:szCs w:val="22"/>
        </w:rPr>
        <w:t>millones</w:t>
      </w:r>
      <w:r w:rsidR="0075368B" w:rsidRPr="00D6729B">
        <w:rPr>
          <w:rFonts w:ascii="Arial Narrow" w:hAnsi="Arial Narrow" w:cstheme="minorHAnsi"/>
          <w:sz w:val="22"/>
          <w:szCs w:val="22"/>
        </w:rPr>
        <w:t xml:space="preserve"> que equivalen a</w:t>
      </w:r>
      <w:r w:rsidRPr="00D6729B">
        <w:rPr>
          <w:rFonts w:ascii="Arial Narrow" w:hAnsi="Arial Narrow" w:cstheme="minorHAnsi"/>
          <w:sz w:val="22"/>
          <w:szCs w:val="22"/>
        </w:rPr>
        <w:t xml:space="preserve">l </w:t>
      </w:r>
      <w:r w:rsidR="0033516E" w:rsidRPr="00D6729B">
        <w:rPr>
          <w:rFonts w:ascii="Arial Narrow" w:hAnsi="Arial Narrow" w:cstheme="minorHAnsi"/>
          <w:sz w:val="22"/>
          <w:szCs w:val="22"/>
        </w:rPr>
        <w:t>6</w:t>
      </w:r>
      <w:r w:rsidR="00652468">
        <w:rPr>
          <w:rFonts w:ascii="Arial Narrow" w:hAnsi="Arial Narrow" w:cstheme="minorHAnsi"/>
          <w:sz w:val="22"/>
          <w:szCs w:val="22"/>
        </w:rPr>
        <w:t>8</w:t>
      </w:r>
      <w:r w:rsidRPr="00D6729B">
        <w:rPr>
          <w:rFonts w:ascii="Arial Narrow" w:hAnsi="Arial Narrow" w:cstheme="minorHAnsi"/>
          <w:sz w:val="22"/>
          <w:szCs w:val="22"/>
        </w:rPr>
        <w:t xml:space="preserve">% de lo comprometido. </w:t>
      </w: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D468C9" w:rsidRPr="00A414C3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1E0956" w:rsidP="006A1ECA">
      <w:pPr>
        <w:pStyle w:val="Estilo1"/>
        <w:rPr>
          <w:color w:val="FF0000"/>
        </w:rPr>
      </w:pPr>
      <w:bookmarkStart w:id="4" w:name="_Toc8052129"/>
      <w:r w:rsidRPr="007D66DC">
        <w:rPr>
          <w:color w:val="auto"/>
        </w:rPr>
        <w:t>Gastos de personal</w:t>
      </w:r>
      <w:bookmarkEnd w:id="4"/>
      <w:r w:rsidR="00E134CF">
        <w:rPr>
          <w:color w:val="auto"/>
        </w:rPr>
        <w:t xml:space="preserve"> </w:t>
      </w:r>
    </w:p>
    <w:p w:rsidR="00460130" w:rsidRPr="007D66DC" w:rsidRDefault="00460130" w:rsidP="006A1ECA">
      <w:pPr>
        <w:pStyle w:val="Estilo1"/>
        <w:rPr>
          <w:color w:val="auto"/>
        </w:rPr>
      </w:pPr>
    </w:p>
    <w:tbl>
      <w:tblPr>
        <w:tblW w:w="9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81"/>
        <w:gridCol w:w="1281"/>
        <w:gridCol w:w="469"/>
        <w:gridCol w:w="1281"/>
        <w:gridCol w:w="1358"/>
        <w:gridCol w:w="788"/>
        <w:gridCol w:w="1365"/>
      </w:tblGrid>
      <w:tr w:rsidR="00D2033A" w:rsidRPr="00D2033A" w:rsidTr="00FD614F">
        <w:trPr>
          <w:trHeight w:val="1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APR. VIGENTE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RP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2033A" w:rsidRPr="00D2033A" w:rsidRDefault="00D2033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D2033A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460130" w:rsidRPr="00D2033A" w:rsidTr="00FD614F">
        <w:trPr>
          <w:trHeight w:val="9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60130" w:rsidRDefault="00460130" w:rsidP="0046013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GASTOS DE PERSONAL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25.318.054.718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11.724.322.196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11.332.456.537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10.857.988.380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93%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13.593.732.522 </w:t>
            </w:r>
          </w:p>
        </w:tc>
      </w:tr>
      <w:tr w:rsidR="00460130" w:rsidRPr="00D2033A" w:rsidTr="00FD614F">
        <w:trPr>
          <w:trHeight w:val="9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130" w:rsidRDefault="00460130" w:rsidP="004601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14F">
              <w:rPr>
                <w:rFonts w:ascii="Arial Narrow" w:hAnsi="Arial Narrow"/>
                <w:color w:val="000000"/>
                <w:sz w:val="20"/>
                <w:szCs w:val="20"/>
              </w:rPr>
              <w:t>Factores salariales comunes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17.217.263.718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7.967.374.552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7.575.806.493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7.575.806.493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9.249.889.166 </w:t>
            </w:r>
          </w:p>
        </w:tc>
      </w:tr>
      <w:tr w:rsidR="00460130" w:rsidRPr="00D2033A" w:rsidTr="00FD614F">
        <w:trPr>
          <w:trHeight w:val="1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130" w:rsidRDefault="00460130" w:rsidP="0046013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Contribuciones Inherentes a la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Nomina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Sector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  <w:t>Privado y Publico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6.284.603.000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3.028.173.922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3.027.876.322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2.553.408.165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3.256.429.078 </w:t>
            </w:r>
          </w:p>
        </w:tc>
      </w:tr>
      <w:tr w:rsidR="00460130" w:rsidRPr="00D2033A" w:rsidTr="00FD614F">
        <w:trPr>
          <w:trHeight w:val="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130" w:rsidRDefault="00460130" w:rsidP="0046013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Remuneraciones no constitutivas de factor salarial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1.816.188.000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728.773.722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728.773.722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728.773.722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CA" w:rsidRDefault="00203DCA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460130" w:rsidRDefault="00460130" w:rsidP="00203DC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30" w:rsidRDefault="00460130" w:rsidP="00203DCA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1.087.414.278 </w:t>
            </w:r>
          </w:p>
        </w:tc>
      </w:tr>
    </w:tbl>
    <w:p w:rsidR="00ED0FCB" w:rsidRPr="00E134CF" w:rsidRDefault="00B9732A" w:rsidP="00B9732A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eastAsia="Calibri" w:hAnsi="Arial Narrow" w:cstheme="minorHAnsi"/>
          <w:b/>
          <w:sz w:val="16"/>
          <w:szCs w:val="16"/>
          <w:lang w:val="es-CO" w:eastAsia="en-US"/>
        </w:rPr>
        <w:t xml:space="preserve">     </w:t>
      </w:r>
      <w:r w:rsidR="00ED0FCB" w:rsidRPr="00E134CF">
        <w:rPr>
          <w:sz w:val="16"/>
          <w:szCs w:val="16"/>
        </w:rPr>
        <w:t xml:space="preserve"> </w:t>
      </w:r>
      <w:r w:rsidR="00ED0FCB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En Gastos de personal se apropiaron $2</w:t>
      </w:r>
      <w:r w:rsidR="0033516E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371F8">
        <w:rPr>
          <w:rFonts w:ascii="Arial Narrow" w:hAnsi="Arial Narrow" w:cstheme="minorHAnsi"/>
          <w:sz w:val="22"/>
          <w:szCs w:val="22"/>
        </w:rPr>
        <w:t>318</w:t>
      </w:r>
      <w:r w:rsidR="0033516E">
        <w:rPr>
          <w:rFonts w:ascii="Arial Narrow" w:hAnsi="Arial Narrow" w:cstheme="minorHAnsi"/>
          <w:sz w:val="22"/>
          <w:szCs w:val="22"/>
        </w:rPr>
        <w:t xml:space="preserve"> millones, l</w:t>
      </w:r>
      <w:r w:rsidRPr="00A414C3">
        <w:rPr>
          <w:rFonts w:ascii="Arial Narrow" w:hAnsi="Arial Narrow" w:cstheme="minorHAnsi"/>
          <w:sz w:val="22"/>
          <w:szCs w:val="22"/>
        </w:rPr>
        <w:t>a ejecución se ha realizado en forma normal, presentando unos compromisos de $</w:t>
      </w:r>
      <w:r w:rsidR="008371F8">
        <w:rPr>
          <w:rFonts w:ascii="Arial Narrow" w:hAnsi="Arial Narrow" w:cstheme="minorHAnsi"/>
          <w:sz w:val="22"/>
          <w:szCs w:val="22"/>
        </w:rPr>
        <w:t>11.724.3</w:t>
      </w:r>
      <w:r w:rsidR="0033516E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8371F8">
        <w:rPr>
          <w:rFonts w:ascii="Arial Narrow" w:hAnsi="Arial Narrow" w:cstheme="minorHAnsi"/>
          <w:sz w:val="22"/>
          <w:szCs w:val="22"/>
        </w:rPr>
        <w:t>46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efectivos del </w:t>
      </w:r>
      <w:r w:rsidR="008371F8">
        <w:rPr>
          <w:rFonts w:ascii="Arial Narrow" w:hAnsi="Arial Narrow" w:cstheme="minorHAnsi"/>
          <w:sz w:val="22"/>
          <w:szCs w:val="22"/>
        </w:rPr>
        <w:t>93</w:t>
      </w:r>
      <w:r w:rsidRPr="00A414C3">
        <w:rPr>
          <w:rFonts w:ascii="Arial Narrow" w:hAnsi="Arial Narrow" w:cstheme="minorHAnsi"/>
          <w:sz w:val="22"/>
          <w:szCs w:val="22"/>
        </w:rPr>
        <w:t>%.</w:t>
      </w:r>
      <w:r w:rsidR="00534A8B">
        <w:rPr>
          <w:rFonts w:ascii="Arial Narrow" w:hAnsi="Arial Narrow" w:cstheme="minorHAnsi"/>
          <w:sz w:val="22"/>
          <w:szCs w:val="22"/>
        </w:rPr>
        <w:t xml:space="preserve">  </w:t>
      </w:r>
    </w:p>
    <w:p w:rsidR="001E0956" w:rsidRDefault="001E0956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Pr="00A414C3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ED0FCB" w:rsidRPr="007D66DC" w:rsidRDefault="00ED0FCB" w:rsidP="00E205FF">
      <w:pPr>
        <w:pStyle w:val="Estilo1"/>
        <w:rPr>
          <w:color w:val="auto"/>
        </w:rPr>
      </w:pPr>
      <w:bookmarkStart w:id="5" w:name="_Toc8052130"/>
      <w:r w:rsidRPr="007D66DC">
        <w:rPr>
          <w:color w:val="auto"/>
        </w:rPr>
        <w:lastRenderedPageBreak/>
        <w:t>Adquisición de bienes y servicios</w:t>
      </w:r>
      <w:bookmarkEnd w:id="5"/>
      <w:r w:rsidR="00955D8C">
        <w:rPr>
          <w:color w:val="auto"/>
        </w:rPr>
        <w:t xml:space="preserve"> </w:t>
      </w:r>
    </w:p>
    <w:p w:rsidR="00ED0FCB" w:rsidRPr="00A414C3" w:rsidRDefault="00ED0FCB" w:rsidP="00B9732A">
      <w:pPr>
        <w:pStyle w:val="Prrafodelista"/>
        <w:ind w:left="0"/>
        <w:jc w:val="both"/>
        <w:rPr>
          <w:rFonts w:ascii="Arial Narrow" w:hAnsi="Arial Narrow" w:cstheme="minorHAnsi"/>
          <w:b/>
        </w:rPr>
      </w:pPr>
    </w:p>
    <w:tbl>
      <w:tblPr>
        <w:tblW w:w="8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167"/>
        <w:gridCol w:w="1182"/>
        <w:gridCol w:w="558"/>
        <w:gridCol w:w="1085"/>
        <w:gridCol w:w="1085"/>
        <w:gridCol w:w="788"/>
        <w:gridCol w:w="1321"/>
      </w:tblGrid>
      <w:tr w:rsidR="00F44429" w:rsidTr="00F44429">
        <w:trPr>
          <w:trHeight w:val="557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44429" w:rsidRDefault="00F4442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F44429" w:rsidTr="00F44429">
        <w:trPr>
          <w:trHeight w:val="517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ADQUISICION DE BIENES Y SERVICIOS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18.559.115.477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15.061.972.804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F44429" w:rsidRDefault="007B163A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81</w:t>
            </w:r>
            <w:r w:rsidR="00F44429">
              <w:rPr>
                <w:rFonts w:ascii="Arial Narrow" w:hAnsi="Arial Narrow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6.802.068.888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6.802.068.888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45%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3.497.142.673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84.770.000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84.770.000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240.000.000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240.000.000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otros bienes transportables (excepto productos metálicos, maquinaria y equipo)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482.823.550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53.759.200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20.557.300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20.557.300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38%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429.064.350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metálicos y paquetes de software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973.200.000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810.657.894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4.046.000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4.046.000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162.542.106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la construcción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95.600.000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93.768.604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10.082.224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10.082.224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1.831.396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1.047.193.219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667.263.216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64%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480.912.066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480.912.066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72%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379.930.003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4.888.792.740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4.787.016.290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2.866.034.046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2.866.034.046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101.776.450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9.231.728.274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7.618.007.111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2.982.486.072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2.982.486.072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1.613.721.163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para la comunidad, sociales y personales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475.007.694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38.523.177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38.466.679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38.466.679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436.484.517 </w:t>
            </w:r>
          </w:p>
        </w:tc>
      </w:tr>
      <w:tr w:rsidR="00F44429" w:rsidTr="00F44429">
        <w:trPr>
          <w:trHeight w:val="45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429" w:rsidRDefault="00F44429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Viáticos de los funcionarios en comisión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40.000.000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33.012.871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83%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30.800.501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30.800.501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93%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29" w:rsidRDefault="00F44429" w:rsidP="00F44429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6.987.129 </w:t>
            </w:r>
          </w:p>
        </w:tc>
      </w:tr>
    </w:tbl>
    <w:p w:rsidR="00ED0FCB" w:rsidRPr="00E134CF" w:rsidRDefault="00ED0FCB" w:rsidP="00ED0FCB">
      <w:pPr>
        <w:pStyle w:val="Prrafodelista"/>
        <w:ind w:left="786" w:hanging="360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sz w:val="16"/>
          <w:szCs w:val="16"/>
        </w:rPr>
        <w:t xml:space="preserve"> </w:t>
      </w: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ED0FCB">
      <w:pPr>
        <w:ind w:firstLine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</w:t>
      </w:r>
    </w:p>
    <w:p w:rsidR="008C6A85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$1</w:t>
      </w:r>
      <w:r w:rsidR="00803D0F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03D0F">
        <w:rPr>
          <w:rFonts w:ascii="Arial Narrow" w:hAnsi="Arial Narrow" w:cstheme="minorHAnsi"/>
          <w:sz w:val="22"/>
          <w:szCs w:val="22"/>
        </w:rPr>
        <w:t xml:space="preserve">559.1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7B163A">
        <w:rPr>
          <w:rFonts w:ascii="Arial Narrow" w:hAnsi="Arial Narrow" w:cstheme="minorHAnsi"/>
          <w:sz w:val="22"/>
          <w:szCs w:val="22"/>
        </w:rPr>
        <w:t xml:space="preserve">15.061.9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8C6A85">
        <w:rPr>
          <w:rFonts w:ascii="Arial Narrow" w:hAnsi="Arial Narrow" w:cstheme="minorHAnsi"/>
          <w:sz w:val="22"/>
          <w:szCs w:val="22"/>
        </w:rPr>
        <w:t>81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8C6A85">
        <w:rPr>
          <w:rFonts w:ascii="Arial Narrow" w:hAnsi="Arial Narrow" w:cstheme="minorHAnsi"/>
          <w:sz w:val="22"/>
          <w:szCs w:val="22"/>
        </w:rPr>
        <w:t xml:space="preserve">6.802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8C6A85">
        <w:rPr>
          <w:rFonts w:ascii="Arial Narrow" w:hAnsi="Arial Narrow" w:cstheme="minorHAnsi"/>
          <w:sz w:val="22"/>
          <w:szCs w:val="22"/>
        </w:rPr>
        <w:t>4</w:t>
      </w:r>
      <w:r w:rsidR="00D24CDA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8C6A85" w:rsidRDefault="008C6A85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que los pagos realizados corresponden a un esfuerzo de la entidad por contratar la adquisición de bienes y la prestación de los servicios esenciales para el correcto funcionamiento del Instituto.</w:t>
      </w:r>
      <w:r w:rsidR="000A39B4" w:rsidRPr="000A39B4">
        <w:rPr>
          <w:color w:val="FF0000"/>
        </w:rPr>
        <w:t xml:space="preserve"> 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7D66DC" w:rsidRDefault="001E0956" w:rsidP="00E205FF">
      <w:pPr>
        <w:pStyle w:val="Estilo1"/>
        <w:rPr>
          <w:color w:val="auto"/>
        </w:rPr>
      </w:pPr>
      <w:bookmarkStart w:id="6" w:name="_Toc8052131"/>
      <w:r w:rsidRPr="007D66DC">
        <w:rPr>
          <w:color w:val="auto"/>
        </w:rPr>
        <w:lastRenderedPageBreak/>
        <w:t>Transferencias</w:t>
      </w:r>
      <w:r w:rsidR="00333550" w:rsidRPr="007D66DC">
        <w:rPr>
          <w:color w:val="auto"/>
        </w:rPr>
        <w:t xml:space="preserve"> corrientes</w:t>
      </w:r>
      <w:bookmarkEnd w:id="6"/>
      <w:r w:rsidR="00AE3190">
        <w:rPr>
          <w:color w:val="auto"/>
        </w:rPr>
        <w:t xml:space="preserve"> </w:t>
      </w:r>
    </w:p>
    <w:p w:rsidR="00D86E6C" w:rsidRPr="00A414C3" w:rsidRDefault="00D86E6C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A414C3" w:rsidRDefault="001E0956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4"/>
        <w:gridCol w:w="1182"/>
        <w:gridCol w:w="544"/>
        <w:gridCol w:w="1004"/>
        <w:gridCol w:w="1004"/>
        <w:gridCol w:w="788"/>
        <w:gridCol w:w="1321"/>
      </w:tblGrid>
      <w:tr w:rsidR="000A7AD8" w:rsidRPr="000A7AD8" w:rsidTr="000A7AD8">
        <w:trPr>
          <w:trHeight w:val="3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A7AD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Transferencias Corrientes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Sentencias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</w:tr>
    </w:tbl>
    <w:p w:rsidR="00ED0FCB" w:rsidRPr="00E134CF" w:rsidRDefault="001E0956" w:rsidP="00ED0FCB">
      <w:pPr>
        <w:tabs>
          <w:tab w:val="right" w:pos="426"/>
        </w:tabs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         </w:t>
      </w:r>
      <w:r w:rsidR="00ED0FCB">
        <w:rPr>
          <w:rFonts w:ascii="Arial Narrow" w:hAnsi="Arial Narrow" w:cstheme="minorHAnsi"/>
          <w:b/>
          <w:sz w:val="22"/>
          <w:szCs w:val="22"/>
        </w:rPr>
        <w:t xml:space="preserve">      </w:t>
      </w:r>
      <w:r w:rsidR="00ED0FCB">
        <w:rPr>
          <w:rFonts w:ascii="Arial Narrow" w:hAnsi="Arial Narrow" w:cstheme="minorHAnsi"/>
          <w:sz w:val="18"/>
          <w:szCs w:val="18"/>
        </w:rPr>
        <w:t xml:space="preserve"> </w:t>
      </w:r>
      <w:r w:rsidR="00ED0FCB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</w:p>
    <w:p w:rsidR="00E636CB" w:rsidRPr="00A414C3" w:rsidRDefault="00E636CB" w:rsidP="00E636CB">
      <w:pPr>
        <w:tabs>
          <w:tab w:val="right" w:pos="426"/>
        </w:tabs>
        <w:ind w:firstLine="426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cuenta con los recursos para sufragar los costos previstos ($</w:t>
      </w:r>
      <w:r w:rsidR="008E08E3">
        <w:rPr>
          <w:rFonts w:ascii="Arial Narrow" w:hAnsi="Arial Narrow" w:cstheme="minorHAnsi"/>
          <w:sz w:val="22"/>
          <w:szCs w:val="22"/>
        </w:rPr>
        <w:t>295.7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millones). En el periodo del informe no se realizaron pagos y se dispone de la apropiación para cumplir con el compromiso que tiene el IDEAM con el Instituto Interamericano para la Investigación del Cambio Global- IAI</w:t>
      </w:r>
      <w:r w:rsidR="008E08E3">
        <w:rPr>
          <w:rFonts w:ascii="Arial Narrow" w:hAnsi="Arial Narrow" w:cstheme="minorHAnsi"/>
          <w:sz w:val="22"/>
          <w:szCs w:val="22"/>
        </w:rPr>
        <w:t>.</w:t>
      </w: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8E08E3">
        <w:rPr>
          <w:rFonts w:ascii="Arial Narrow" w:hAnsi="Arial Narrow" w:cstheme="minorHAnsi"/>
          <w:sz w:val="22"/>
          <w:szCs w:val="22"/>
        </w:rPr>
        <w:t>L</w:t>
      </w:r>
      <w:r w:rsidRPr="00A414C3">
        <w:rPr>
          <w:rFonts w:ascii="Arial Narrow" w:hAnsi="Arial Narrow" w:cstheme="minorHAnsi"/>
          <w:sz w:val="22"/>
          <w:szCs w:val="22"/>
        </w:rPr>
        <w:t>a apropiación contiene los recursos para cancelación de la auditoría que realiza la contraloría General de la República y aforado para sentencias y conciliaciones.</w:t>
      </w:r>
      <w:r w:rsidR="002957BF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Default="00F81BFE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Default="00F81BFE" w:rsidP="00E205FF">
      <w:pPr>
        <w:pStyle w:val="Estilo1"/>
        <w:rPr>
          <w:color w:val="auto"/>
        </w:rPr>
      </w:pPr>
      <w:bookmarkStart w:id="7" w:name="_Toc8052132"/>
      <w:r w:rsidRPr="007D66DC">
        <w:rPr>
          <w:color w:val="auto"/>
        </w:rPr>
        <w:t>Gastos por tributos, multas, sanciones e intereses de mora</w:t>
      </w:r>
      <w:bookmarkEnd w:id="7"/>
      <w:r w:rsidR="00AE3190">
        <w:rPr>
          <w:color w:val="auto"/>
        </w:rPr>
        <w:t xml:space="preserve"> </w:t>
      </w:r>
    </w:p>
    <w:p w:rsidR="007D66DC" w:rsidRPr="007D66DC" w:rsidRDefault="007D66DC" w:rsidP="00E205FF">
      <w:pPr>
        <w:pStyle w:val="Estilo1"/>
        <w:rPr>
          <w:color w:val="auto"/>
        </w:rPr>
      </w:pPr>
    </w:p>
    <w:tbl>
      <w:tblPr>
        <w:tblW w:w="875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1117"/>
        <w:gridCol w:w="1117"/>
        <w:gridCol w:w="477"/>
        <w:gridCol w:w="1023"/>
        <w:gridCol w:w="978"/>
        <w:gridCol w:w="744"/>
        <w:gridCol w:w="1248"/>
      </w:tblGrid>
      <w:tr w:rsidR="0040522B" w:rsidRPr="005B512D" w:rsidTr="00FB3813">
        <w:trPr>
          <w:trHeight w:val="451"/>
          <w:jc w:val="right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52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APROPIACION VIGENTE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COMPROMISO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% RP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OBLIGACION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PAGADO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% PAGADO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VALOR POR COMPROMETER</w:t>
            </w:r>
          </w:p>
        </w:tc>
      </w:tr>
      <w:tr w:rsidR="00FB3813" w:rsidRPr="005B512D" w:rsidTr="00FB3813">
        <w:trPr>
          <w:trHeight w:val="176"/>
          <w:jc w:val="right"/>
        </w:trPr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3813" w:rsidRPr="009712E9" w:rsidRDefault="00FB3813" w:rsidP="00FB3813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>Gastos por tributos, multas, sanciones e intereses de mora</w:t>
            </w:r>
          </w:p>
        </w:tc>
        <w:tc>
          <w:tcPr>
            <w:tcW w:w="1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FB3813" w:rsidP="00FB381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758.886.990 </w:t>
            </w:r>
          </w:p>
        </w:tc>
        <w:tc>
          <w:tcPr>
            <w:tcW w:w="1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FB3813" w:rsidP="00FB381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119.904.180 </w:t>
            </w:r>
          </w:p>
        </w:tc>
        <w:tc>
          <w:tcPr>
            <w:tcW w:w="4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FB3813" w:rsidP="00FB3813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es-MX" w:eastAsia="es-MX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>16%</w:t>
            </w:r>
          </w:p>
        </w:tc>
        <w:tc>
          <w:tcPr>
            <w:tcW w:w="102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FB3813" w:rsidP="00FB381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119.904.180 </w:t>
            </w:r>
          </w:p>
        </w:tc>
        <w:tc>
          <w:tcPr>
            <w:tcW w:w="9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FB3813" w:rsidP="00FB381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119.904.180 </w:t>
            </w:r>
          </w:p>
        </w:tc>
        <w:tc>
          <w:tcPr>
            <w:tcW w:w="7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FB3813" w:rsidRPr="009712E9" w:rsidRDefault="002957BF" w:rsidP="00FB3813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100</w:t>
            </w:r>
            <w:r w:rsidR="00FB3813" w:rsidRPr="009712E9">
              <w:rPr>
                <w:rFonts w:ascii="Arial Narrow" w:hAnsi="Arial Narrow" w:cs="Calibri"/>
                <w:b/>
                <w:sz w:val="18"/>
                <w:szCs w:val="18"/>
              </w:rPr>
              <w:t>%</w:t>
            </w:r>
          </w:p>
        </w:tc>
        <w:tc>
          <w:tcPr>
            <w:tcW w:w="124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FB3813" w:rsidRDefault="00FB3813" w:rsidP="00FB3813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  <w:p w:rsidR="00FB3813" w:rsidRDefault="00FB3813" w:rsidP="00FB3813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</w:p>
          <w:p w:rsidR="00FB3813" w:rsidRPr="00FB3813" w:rsidRDefault="00FB3813" w:rsidP="00FB3813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 xml:space="preserve">      </w:t>
            </w:r>
            <w:r w:rsidRPr="00FB3813">
              <w:rPr>
                <w:rFonts w:ascii="Arial Narrow" w:hAnsi="Arial Narrow" w:cs="Calibri"/>
                <w:b/>
                <w:sz w:val="18"/>
                <w:szCs w:val="18"/>
              </w:rPr>
              <w:t xml:space="preserve">638.982.810 </w:t>
            </w:r>
          </w:p>
        </w:tc>
      </w:tr>
      <w:tr w:rsidR="00FB3813" w:rsidRPr="005B512D" w:rsidTr="00FB3813">
        <w:trPr>
          <w:trHeight w:val="176"/>
          <w:jc w:val="right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3813" w:rsidRPr="0040522B" w:rsidRDefault="00FB3813" w:rsidP="00FB3813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Impuesto predial y sobretasa ambiental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FB3813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645.223.530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FB3813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118.969.180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FB3813" w:rsidP="00FB38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18%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FB3813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118.969.180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FB3813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118.969.180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FB3813" w:rsidRPr="0040522B" w:rsidRDefault="002957BF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</w:t>
            </w:r>
            <w:r w:rsidR="00FB3813" w:rsidRPr="0040522B">
              <w:rPr>
                <w:rFonts w:ascii="Arial Narrow" w:hAnsi="Arial Narrow" w:cs="Calibri"/>
                <w:sz w:val="18"/>
                <w:szCs w:val="18"/>
              </w:rPr>
              <w:t>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FB3813" w:rsidRPr="00FB3813" w:rsidRDefault="00FB3813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FB3813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</w:t>
            </w:r>
            <w:r w:rsidRPr="00FB3813">
              <w:rPr>
                <w:rFonts w:ascii="Arial Narrow" w:hAnsi="Arial Narrow" w:cs="Calibri"/>
                <w:sz w:val="18"/>
                <w:szCs w:val="18"/>
              </w:rPr>
              <w:t xml:space="preserve">526.254.350 </w:t>
            </w:r>
          </w:p>
        </w:tc>
      </w:tr>
      <w:tr w:rsidR="0040522B" w:rsidRPr="005B512D" w:rsidTr="00FB3813">
        <w:trPr>
          <w:trHeight w:val="176"/>
          <w:jc w:val="right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FB3813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Impuesto sobre vehículos automotores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1.000.000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935.000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94%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935.000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65.000 </w:t>
            </w:r>
          </w:p>
        </w:tc>
      </w:tr>
      <w:tr w:rsidR="0040522B" w:rsidRPr="005B512D" w:rsidTr="00FB3813">
        <w:trPr>
          <w:trHeight w:val="176"/>
          <w:jc w:val="right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FB3813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Cuota de fiscalización y </w:t>
            </w:r>
            <w:proofErr w:type="spellStart"/>
            <w:r w:rsidRPr="0040522B">
              <w:rPr>
                <w:rFonts w:ascii="Arial Narrow" w:hAnsi="Arial Narrow" w:cs="Calibri"/>
                <w:sz w:val="18"/>
                <w:szCs w:val="18"/>
              </w:rPr>
              <w:t>auditaje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112.663.460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FB3813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   -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FB3813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FB3813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112.663.460 </w:t>
            </w:r>
          </w:p>
        </w:tc>
      </w:tr>
    </w:tbl>
    <w:p w:rsidR="00394CAE" w:rsidRPr="00786639" w:rsidRDefault="00394CAE" w:rsidP="00394CAE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  <w:t xml:space="preserve">                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9712E9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</w:p>
    <w:p w:rsidR="00850730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>De la apropiación vigente por $</w:t>
      </w:r>
      <w:r w:rsidR="003D27EE">
        <w:rPr>
          <w:rFonts w:ascii="Arial Narrow" w:hAnsi="Arial Narrow" w:cstheme="minorHAnsi"/>
        </w:rPr>
        <w:t>758.8</w:t>
      </w:r>
      <w:r>
        <w:rPr>
          <w:rFonts w:ascii="Arial Narrow" w:hAnsi="Arial Narrow" w:cstheme="minorHAnsi"/>
        </w:rPr>
        <w:t xml:space="preserve"> </w:t>
      </w:r>
      <w:r w:rsidRPr="00A414C3">
        <w:rPr>
          <w:rFonts w:ascii="Arial Narrow" w:hAnsi="Arial Narrow" w:cstheme="minorHAnsi"/>
        </w:rPr>
        <w:t>millones se comprometieron $</w:t>
      </w:r>
      <w:r>
        <w:rPr>
          <w:rFonts w:ascii="Arial Narrow" w:hAnsi="Arial Narrow" w:cstheme="minorHAnsi"/>
        </w:rPr>
        <w:t>1</w:t>
      </w:r>
      <w:r w:rsidR="003D27EE">
        <w:rPr>
          <w:rFonts w:ascii="Arial Narrow" w:hAnsi="Arial Narrow" w:cstheme="minorHAnsi"/>
        </w:rPr>
        <w:t>19.9</w:t>
      </w:r>
      <w:r w:rsidRPr="00A414C3">
        <w:rPr>
          <w:rFonts w:ascii="Arial Narrow" w:hAnsi="Arial Narrow" w:cstheme="minorHAnsi"/>
        </w:rPr>
        <w:t xml:space="preserve"> millones que representan el </w:t>
      </w:r>
      <w:r w:rsidR="00A712F8">
        <w:rPr>
          <w:rFonts w:ascii="Arial Narrow" w:hAnsi="Arial Narrow" w:cstheme="minorHAnsi"/>
        </w:rPr>
        <w:t>16</w:t>
      </w:r>
      <w:r w:rsidRPr="00A414C3">
        <w:rPr>
          <w:rFonts w:ascii="Arial Narrow" w:hAnsi="Arial Narrow" w:cstheme="minorHAnsi"/>
        </w:rPr>
        <w:t>% de la apropiación, con pagos por $</w:t>
      </w:r>
      <w:r w:rsidR="00A712F8">
        <w:rPr>
          <w:rFonts w:ascii="Arial Narrow" w:hAnsi="Arial Narrow" w:cstheme="minorHAnsi"/>
        </w:rPr>
        <w:t>119</w:t>
      </w:r>
      <w:r w:rsidR="003D27EE">
        <w:rPr>
          <w:rFonts w:ascii="Arial Narrow" w:hAnsi="Arial Narrow" w:cstheme="minorHAnsi"/>
        </w:rPr>
        <w:t>.</w:t>
      </w:r>
      <w:r w:rsidR="00A712F8">
        <w:rPr>
          <w:rFonts w:ascii="Arial Narrow" w:hAnsi="Arial Narrow" w:cstheme="minorHAnsi"/>
        </w:rPr>
        <w:t>9</w:t>
      </w:r>
      <w:r w:rsidRPr="00A414C3">
        <w:rPr>
          <w:rFonts w:ascii="Arial Narrow" w:hAnsi="Arial Narrow" w:cstheme="minorHAnsi"/>
        </w:rPr>
        <w:t xml:space="preserve"> millones que equivalen al </w:t>
      </w:r>
      <w:r w:rsidR="00A712F8">
        <w:rPr>
          <w:rFonts w:ascii="Arial Narrow" w:hAnsi="Arial Narrow" w:cstheme="minorHAnsi"/>
        </w:rPr>
        <w:t>100</w:t>
      </w:r>
      <w:r w:rsidRPr="00A414C3">
        <w:rPr>
          <w:rFonts w:ascii="Arial Narrow" w:hAnsi="Arial Narrow" w:cstheme="minorHAnsi"/>
        </w:rPr>
        <w:t>% de los recursos comprometidos.</w:t>
      </w:r>
    </w:p>
    <w:p w:rsidR="00E205FF" w:rsidRDefault="00E205FF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:rsidR="001E0956" w:rsidRPr="007F3B4E" w:rsidRDefault="001E0956" w:rsidP="00E205FF">
      <w:pPr>
        <w:pStyle w:val="Ttulo1"/>
        <w:rPr>
          <w:color w:val="FF0000"/>
        </w:rPr>
      </w:pPr>
      <w:bookmarkStart w:id="8" w:name="_Toc8052133"/>
      <w:r w:rsidRPr="00A414C3">
        <w:lastRenderedPageBreak/>
        <w:t>INVERSIÓN</w:t>
      </w:r>
      <w:bookmarkEnd w:id="8"/>
      <w:r w:rsidR="007F3B4E">
        <w:t xml:space="preserve"> </w:t>
      </w:r>
    </w:p>
    <w:p w:rsidR="001A5E34" w:rsidRPr="00A414C3" w:rsidRDefault="001A5E34" w:rsidP="00850730">
      <w:pPr>
        <w:pStyle w:val="Prrafodelista"/>
        <w:ind w:left="360"/>
        <w:jc w:val="both"/>
        <w:rPr>
          <w:rFonts w:ascii="Arial Narrow" w:hAnsi="Arial Narrow" w:cstheme="minorHAnsi"/>
          <w:b/>
        </w:rPr>
      </w:pPr>
    </w:p>
    <w:tbl>
      <w:tblPr>
        <w:tblW w:w="8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169"/>
        <w:gridCol w:w="1339"/>
        <w:gridCol w:w="432"/>
        <w:gridCol w:w="1227"/>
        <w:gridCol w:w="1339"/>
        <w:gridCol w:w="627"/>
        <w:gridCol w:w="1339"/>
      </w:tblGrid>
      <w:tr w:rsidR="0005446B" w:rsidTr="00E719BC">
        <w:trPr>
          <w:trHeight w:val="63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05446B" w:rsidTr="00E719BC">
        <w:trPr>
          <w:trHeight w:val="37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5446B" w:rsidRPr="0005446B" w:rsidRDefault="0005446B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28.714.715.830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15.806.815.348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5.020.463.268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5.020.463.268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12.907.900.483 </w:t>
            </w:r>
          </w:p>
        </w:tc>
      </w:tr>
      <w:tr w:rsidR="0005446B" w:rsidTr="00E719BC">
        <w:trPr>
          <w:trHeight w:val="37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6B" w:rsidRPr="0005446B" w:rsidRDefault="0005446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24.890.448.291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13.353.731.763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4.144.355.773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4.144.355.773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11.536.716.528 </w:t>
            </w:r>
          </w:p>
        </w:tc>
      </w:tr>
      <w:tr w:rsidR="0005446B" w:rsidTr="00E719BC">
        <w:trPr>
          <w:trHeight w:val="37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46B" w:rsidRPr="0005446B" w:rsidRDefault="0005446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3.824.267.539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2.453.083.585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60" w:rsidRDefault="00861F6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05446B" w:rsidRPr="0005446B" w:rsidRDefault="0005446B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46B" w:rsidRPr="0005446B" w:rsidRDefault="0005446B" w:rsidP="0005446B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5446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1.371.183.955 </w:t>
            </w:r>
          </w:p>
        </w:tc>
      </w:tr>
    </w:tbl>
    <w:p w:rsidR="001A5E34" w:rsidRPr="0050768E" w:rsidRDefault="0005446B" w:rsidP="0050768E">
      <w:pPr>
        <w:ind w:firstLine="708"/>
        <w:jc w:val="both"/>
        <w:rPr>
          <w:rFonts w:ascii="Arial Narrow" w:hAnsi="Arial Narrow" w:cstheme="minorHAnsi"/>
        </w:rPr>
      </w:pPr>
      <w:r w:rsidRPr="0050768E">
        <w:rPr>
          <w:rFonts w:ascii="Arial Narrow" w:hAnsi="Arial Narrow" w:cstheme="minorHAnsi"/>
          <w:sz w:val="18"/>
          <w:szCs w:val="18"/>
        </w:rPr>
        <w:t xml:space="preserve"> </w:t>
      </w:r>
      <w:r w:rsidR="001A5E34" w:rsidRPr="0050768E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5B2190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5B2190" w:rsidRDefault="005B2190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tienen apropiados $2</w:t>
      </w:r>
      <w:r w:rsidR="0050768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50768E">
        <w:rPr>
          <w:rFonts w:ascii="Arial Narrow" w:hAnsi="Arial Narrow" w:cstheme="minorHAnsi"/>
          <w:sz w:val="22"/>
          <w:szCs w:val="22"/>
        </w:rPr>
        <w:t>7</w:t>
      </w:r>
      <w:r w:rsidR="00791022">
        <w:rPr>
          <w:rFonts w:ascii="Arial Narrow" w:hAnsi="Arial Narrow" w:cstheme="minorHAnsi"/>
          <w:sz w:val="22"/>
          <w:szCs w:val="22"/>
        </w:rPr>
        <w:t>14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de los cuales $2</w:t>
      </w:r>
      <w:r w:rsidR="0050768E">
        <w:rPr>
          <w:rFonts w:ascii="Arial Narrow" w:hAnsi="Arial Narrow" w:cstheme="minorHAnsi"/>
          <w:sz w:val="22"/>
          <w:szCs w:val="22"/>
        </w:rPr>
        <w:t>4.890.4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son aporte nación y $</w:t>
      </w:r>
      <w:r w:rsidR="0050768E">
        <w:rPr>
          <w:rFonts w:ascii="Arial Narrow" w:hAnsi="Arial Narrow" w:cstheme="minorHAnsi"/>
          <w:sz w:val="22"/>
          <w:szCs w:val="22"/>
        </w:rPr>
        <w:t>3.8</w:t>
      </w:r>
      <w:r w:rsidR="00791022">
        <w:rPr>
          <w:rFonts w:ascii="Arial Narrow" w:hAnsi="Arial Narrow" w:cstheme="minorHAnsi"/>
          <w:sz w:val="22"/>
          <w:szCs w:val="22"/>
        </w:rPr>
        <w:t>24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recursos propios </w:t>
      </w:r>
    </w:p>
    <w:p w:rsidR="001E0956" w:rsidRPr="00A414C3" w:rsidRDefault="001E0956" w:rsidP="00970FA5">
      <w:pPr>
        <w:ind w:left="284"/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bCs/>
          <w:sz w:val="22"/>
          <w:szCs w:val="22"/>
        </w:rPr>
        <w:t>En el período de</w:t>
      </w:r>
      <w:r w:rsidR="00843A92">
        <w:rPr>
          <w:rFonts w:ascii="Arial Narrow" w:hAnsi="Arial Narrow" w:cstheme="minorHAnsi"/>
          <w:bCs/>
          <w:sz w:val="22"/>
          <w:szCs w:val="22"/>
        </w:rPr>
        <w:t>l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informe l</w:t>
      </w:r>
      <w:r w:rsidRPr="00A414C3">
        <w:rPr>
          <w:rFonts w:ascii="Arial Narrow" w:hAnsi="Arial Narrow" w:cstheme="minorHAnsi"/>
          <w:sz w:val="22"/>
          <w:szCs w:val="22"/>
        </w:rPr>
        <w:t>os compromisos llegaron a $</w:t>
      </w:r>
      <w:r w:rsidR="00791022">
        <w:rPr>
          <w:rFonts w:ascii="Arial Narrow" w:hAnsi="Arial Narrow" w:cstheme="minorHAnsi"/>
          <w:sz w:val="22"/>
          <w:szCs w:val="22"/>
        </w:rPr>
        <w:t xml:space="preserve">15.806.8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791022">
        <w:rPr>
          <w:rFonts w:ascii="Arial Narrow" w:hAnsi="Arial Narrow" w:cstheme="minorHAnsi"/>
          <w:sz w:val="22"/>
          <w:szCs w:val="22"/>
        </w:rPr>
        <w:t>55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</w:t>
      </w:r>
      <w:r w:rsidRPr="00A414C3">
        <w:rPr>
          <w:rFonts w:ascii="Arial Narrow" w:hAnsi="Arial Narrow" w:cstheme="minorHAnsi"/>
          <w:bCs/>
          <w:sz w:val="22"/>
          <w:szCs w:val="22"/>
        </w:rPr>
        <w:t>por $</w:t>
      </w:r>
      <w:r w:rsidR="00791022">
        <w:rPr>
          <w:rFonts w:ascii="Arial Narrow" w:hAnsi="Arial Narrow" w:cstheme="minorHAnsi"/>
          <w:bCs/>
          <w:sz w:val="22"/>
          <w:szCs w:val="22"/>
        </w:rPr>
        <w:t>5.020.4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millones equivalentes al </w:t>
      </w:r>
      <w:r w:rsidR="00791022">
        <w:rPr>
          <w:rFonts w:ascii="Arial Narrow" w:hAnsi="Arial Narrow" w:cstheme="minorHAnsi"/>
          <w:bCs/>
          <w:sz w:val="22"/>
          <w:szCs w:val="22"/>
        </w:rPr>
        <w:t>32</w:t>
      </w:r>
      <w:r w:rsidRPr="00A414C3">
        <w:rPr>
          <w:rFonts w:ascii="Arial Narrow" w:hAnsi="Arial Narrow" w:cstheme="minorHAnsi"/>
          <w:sz w:val="22"/>
          <w:szCs w:val="22"/>
        </w:rPr>
        <w:t xml:space="preserve">% </w:t>
      </w:r>
      <w:r w:rsidRPr="00A414C3">
        <w:rPr>
          <w:rFonts w:ascii="Arial Narrow" w:hAnsi="Arial Narrow" w:cstheme="minorHAnsi"/>
          <w:bCs/>
          <w:sz w:val="22"/>
          <w:szCs w:val="22"/>
        </w:rPr>
        <w:t>de lo comprometido.</w:t>
      </w:r>
      <w:r w:rsidR="00E979B3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1E0956" w:rsidRPr="00CC21E5" w:rsidRDefault="001E0956" w:rsidP="00A34323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9" w:name="_Toc8052134"/>
      <w:r w:rsidRPr="00CC21E5">
        <w:rPr>
          <w:rFonts w:ascii="Arial Narrow" w:hAnsi="Arial Narrow"/>
          <w:b/>
          <w:color w:val="auto"/>
          <w:sz w:val="22"/>
          <w:szCs w:val="22"/>
        </w:rPr>
        <w:t xml:space="preserve">Inversión Aportes Nación (Recurso </w:t>
      </w:r>
      <w:r w:rsidR="007B0145" w:rsidRPr="00CC21E5">
        <w:rPr>
          <w:rFonts w:ascii="Arial Narrow" w:hAnsi="Arial Narrow"/>
          <w:b/>
          <w:color w:val="auto"/>
          <w:sz w:val="22"/>
          <w:szCs w:val="22"/>
        </w:rPr>
        <w:t xml:space="preserve">10 y </w:t>
      </w:r>
      <w:r w:rsidRPr="00CC21E5">
        <w:rPr>
          <w:rFonts w:ascii="Arial Narrow" w:hAnsi="Arial Narrow"/>
          <w:b/>
          <w:color w:val="auto"/>
          <w:sz w:val="22"/>
          <w:szCs w:val="22"/>
        </w:rPr>
        <w:t>11)</w:t>
      </w:r>
      <w:bookmarkEnd w:id="9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E0956" w:rsidRPr="00A414C3" w:rsidRDefault="001E0956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W w:w="9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148"/>
        <w:gridCol w:w="1148"/>
        <w:gridCol w:w="545"/>
        <w:gridCol w:w="1076"/>
        <w:gridCol w:w="1076"/>
        <w:gridCol w:w="722"/>
        <w:gridCol w:w="1198"/>
      </w:tblGrid>
      <w:tr w:rsidR="000424F8" w:rsidRPr="000424F8" w:rsidTr="004B51E7">
        <w:trPr>
          <w:trHeight w:val="42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APROPIACION VIGENTE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COMPROMISO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 w:rsidP="004B51E7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% COMP RP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OBLIGADO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PAGADO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% PAGADO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VALOR POR COMPROMETER</w:t>
            </w:r>
          </w:p>
        </w:tc>
      </w:tr>
      <w:tr w:rsidR="004B51E7" w:rsidRPr="000424F8" w:rsidTr="004B51E7">
        <w:trPr>
          <w:trHeight w:val="378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B51E7" w:rsidRPr="000424F8" w:rsidRDefault="004B51E7" w:rsidP="004B51E7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INVERSION NACION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24.890.448.291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13.353.731.763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B2272" w:rsidRDefault="00CB2272" w:rsidP="004B51E7">
            <w:pPr>
              <w:jc w:val="center"/>
              <w:rPr>
                <w:b/>
                <w:sz w:val="16"/>
                <w:szCs w:val="16"/>
              </w:rPr>
            </w:pPr>
          </w:p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54%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4.144.355.773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4.144.355.773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B2272" w:rsidRDefault="00CB2272" w:rsidP="004B51E7">
            <w:pPr>
              <w:jc w:val="center"/>
              <w:rPr>
                <w:b/>
                <w:sz w:val="16"/>
                <w:szCs w:val="16"/>
              </w:rPr>
            </w:pPr>
          </w:p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31%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B2272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</w:t>
            </w:r>
          </w:p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11.536.716.528 </w:t>
            </w:r>
          </w:p>
        </w:tc>
      </w:tr>
      <w:tr w:rsidR="004B51E7" w:rsidRPr="000424F8" w:rsidTr="004B51E7">
        <w:trPr>
          <w:trHeight w:val="31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0424F8" w:rsidRDefault="004B51E7" w:rsidP="004B51E7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7.121.818.747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975.465.299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14%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72.710.356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72.710.356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6.146.353.448 </w:t>
            </w:r>
          </w:p>
        </w:tc>
      </w:tr>
      <w:tr w:rsidR="004B51E7" w:rsidRPr="000424F8" w:rsidTr="004B51E7">
        <w:trPr>
          <w:trHeight w:val="82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E7" w:rsidRPr="000424F8" w:rsidRDefault="004B51E7" w:rsidP="004B51E7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6.508.259.990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919.317.999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14%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61.690.356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61.690.356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5.588.941.991 </w:t>
            </w:r>
          </w:p>
        </w:tc>
      </w:tr>
      <w:tr w:rsidR="004B51E7" w:rsidRPr="000424F8" w:rsidTr="004B51E7">
        <w:trPr>
          <w:trHeight w:val="1042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E7" w:rsidRPr="000424F8" w:rsidRDefault="004B51E7" w:rsidP="004B51E7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613.558.757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56.147.300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11.020.000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11.020.000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20%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557.411.457 </w:t>
            </w:r>
          </w:p>
        </w:tc>
      </w:tr>
      <w:tr w:rsidR="004B51E7" w:rsidRPr="000424F8" w:rsidTr="004B51E7">
        <w:trPr>
          <w:trHeight w:val="378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B51E7" w:rsidRPr="000424F8" w:rsidRDefault="004B51E7" w:rsidP="004B51E7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17.768.629.544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12.378.266.464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2272" w:rsidRDefault="00CB2272" w:rsidP="004B51E7">
            <w:pPr>
              <w:jc w:val="center"/>
              <w:rPr>
                <w:b/>
                <w:sz w:val="16"/>
                <w:szCs w:val="16"/>
              </w:rPr>
            </w:pPr>
          </w:p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70%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4.071.645.417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4.071.645.417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2272" w:rsidRDefault="00CB2272" w:rsidP="004B51E7">
            <w:pPr>
              <w:jc w:val="center"/>
              <w:rPr>
                <w:b/>
                <w:sz w:val="16"/>
                <w:szCs w:val="16"/>
              </w:rPr>
            </w:pPr>
          </w:p>
          <w:p w:rsidR="004B51E7" w:rsidRPr="004B51E7" w:rsidRDefault="004B51E7" w:rsidP="004B51E7">
            <w:pPr>
              <w:jc w:val="center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>33%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2272" w:rsidRDefault="00CB2272" w:rsidP="004B51E7">
            <w:pPr>
              <w:jc w:val="right"/>
              <w:rPr>
                <w:b/>
                <w:sz w:val="16"/>
                <w:szCs w:val="16"/>
              </w:rPr>
            </w:pPr>
          </w:p>
          <w:p w:rsidR="004B51E7" w:rsidRPr="004B51E7" w:rsidRDefault="004B51E7" w:rsidP="004B51E7">
            <w:pPr>
              <w:jc w:val="right"/>
              <w:rPr>
                <w:b/>
                <w:sz w:val="16"/>
                <w:szCs w:val="16"/>
              </w:rPr>
            </w:pPr>
            <w:r w:rsidRPr="004B51E7">
              <w:rPr>
                <w:b/>
                <w:sz w:val="16"/>
                <w:szCs w:val="16"/>
              </w:rPr>
              <w:t xml:space="preserve"> 5.390.363.080 </w:t>
            </w:r>
          </w:p>
        </w:tc>
      </w:tr>
      <w:tr w:rsidR="004B51E7" w:rsidRPr="000424F8" w:rsidTr="004B51E7">
        <w:trPr>
          <w:trHeight w:val="82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E7" w:rsidRPr="000424F8" w:rsidRDefault="004B51E7" w:rsidP="004B51E7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14.660.278.098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11.512.274.095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79%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3.832.298.562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3.832.298.562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33%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3.148.004.003 </w:t>
            </w:r>
          </w:p>
        </w:tc>
      </w:tr>
      <w:tr w:rsidR="004B51E7" w:rsidRPr="000424F8" w:rsidTr="004B51E7">
        <w:trPr>
          <w:trHeight w:val="1054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1E7" w:rsidRPr="000424F8" w:rsidRDefault="004B51E7" w:rsidP="004B51E7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3.108.351.446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865.992.369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28%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239.346.855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239.346.855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center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>28%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E7" w:rsidRPr="004B51E7" w:rsidRDefault="004B51E7" w:rsidP="004B51E7">
            <w:pPr>
              <w:jc w:val="right"/>
              <w:rPr>
                <w:sz w:val="16"/>
                <w:szCs w:val="16"/>
              </w:rPr>
            </w:pPr>
            <w:r w:rsidRPr="004B51E7">
              <w:rPr>
                <w:sz w:val="16"/>
                <w:szCs w:val="16"/>
              </w:rPr>
              <w:t xml:space="preserve"> 2.242.359.077 </w:t>
            </w:r>
          </w:p>
        </w:tc>
      </w:tr>
    </w:tbl>
    <w:p w:rsidR="002A307E" w:rsidRPr="008C146B" w:rsidRDefault="001E0956" w:rsidP="008C146B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2A307E" w:rsidRPr="008C146B">
        <w:rPr>
          <w:rFonts w:ascii="Arial Narrow" w:hAnsi="Arial Narrow" w:cstheme="minorHAnsi"/>
        </w:rPr>
        <w:t xml:space="preserve">  </w:t>
      </w:r>
      <w:r w:rsidR="002A307E"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5B2190" w:rsidRDefault="005B2190" w:rsidP="00970FA5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8056E9" w:rsidRDefault="008056E9" w:rsidP="008056E9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La apropiación está distribuida en dos proyectos: Fortalecimiento de la Gestión del conocimiento</w:t>
      </w:r>
      <w:r w:rsidR="001E434E">
        <w:rPr>
          <w:rFonts w:ascii="Arial Narrow" w:hAnsi="Arial Narrow" w:cstheme="minorHAnsi"/>
          <w:sz w:val="22"/>
          <w:szCs w:val="22"/>
        </w:rPr>
        <w:t xml:space="preserve"> Hidrológico, Meteorológico y </w:t>
      </w:r>
      <w:r w:rsidRPr="00A414C3">
        <w:rPr>
          <w:rFonts w:ascii="Arial Narrow" w:hAnsi="Arial Narrow" w:cstheme="minorHAnsi"/>
          <w:sz w:val="22"/>
          <w:szCs w:val="22"/>
        </w:rPr>
        <w:t>Ambiental</w:t>
      </w:r>
      <w:r w:rsidR="001E434E">
        <w:rPr>
          <w:rFonts w:ascii="Arial Narrow" w:hAnsi="Arial Narrow" w:cstheme="minorHAnsi"/>
          <w:sz w:val="22"/>
          <w:szCs w:val="22"/>
        </w:rPr>
        <w:t xml:space="preserve"> Nacional</w:t>
      </w:r>
      <w:r w:rsidRPr="00A414C3">
        <w:rPr>
          <w:rFonts w:ascii="Arial Narrow" w:hAnsi="Arial Narrow" w:cstheme="minorHAnsi"/>
          <w:sz w:val="22"/>
          <w:szCs w:val="22"/>
        </w:rPr>
        <w:t xml:space="preserve"> ($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21.168.5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 y, Fortalecimiento de la gestión y dirección del instituto de hidrología, meteorología y estudios ambientales nacional ($</w:t>
      </w:r>
      <w:r w:rsidR="001E434E">
        <w:rPr>
          <w:rFonts w:ascii="Arial Narrow" w:hAnsi="Arial Narrow" w:cstheme="minorHAnsi"/>
          <w:sz w:val="22"/>
          <w:szCs w:val="22"/>
        </w:rPr>
        <w:t>3.721.9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illones).</w:t>
      </w: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Los proyectos mencionados anteriormente, contienen todas las actividades programadas por el </w:t>
      </w:r>
      <w:r w:rsidR="00421D07">
        <w:rPr>
          <w:rFonts w:ascii="Arial Narrow" w:hAnsi="Arial Narrow" w:cstheme="minorHAnsi"/>
          <w:sz w:val="22"/>
          <w:szCs w:val="22"/>
        </w:rPr>
        <w:t>IDEAM</w:t>
      </w:r>
      <w:r w:rsidRPr="00A414C3">
        <w:rPr>
          <w:rFonts w:ascii="Arial Narrow" w:hAnsi="Arial Narrow" w:cstheme="minorHAnsi"/>
          <w:sz w:val="22"/>
          <w:szCs w:val="22"/>
        </w:rPr>
        <w:t xml:space="preserve"> en cada una de sus dependencias misionales y responden a la ejecución óptima de los recursos asignados, regidos por una programación y estudio previo de los componentes que se han justificado, conforme a las necesidades institucionales.</w:t>
      </w:r>
      <w:r w:rsidR="00D123E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F4567A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Default="00D86E6C" w:rsidP="008056E9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CC21E5" w:rsidRDefault="001E0956" w:rsidP="00A34323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0" w:name="_Toc8052135"/>
      <w:r w:rsidRPr="00CC21E5">
        <w:rPr>
          <w:rFonts w:ascii="Arial Narrow" w:hAnsi="Arial Narrow"/>
          <w:b/>
          <w:color w:val="auto"/>
          <w:sz w:val="22"/>
          <w:szCs w:val="22"/>
        </w:rPr>
        <w:t>Inversión Recursos Propios (Recurso 20)</w:t>
      </w:r>
      <w:bookmarkEnd w:id="10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 </w:t>
      </w:r>
    </w:p>
    <w:p w:rsidR="001E0956" w:rsidRPr="00A414C3" w:rsidRDefault="001E0956" w:rsidP="00970FA5">
      <w:pPr>
        <w:spacing w:line="276" w:lineRule="auto"/>
        <w:ind w:left="284"/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88"/>
        <w:gridCol w:w="1188"/>
        <w:gridCol w:w="586"/>
        <w:gridCol w:w="967"/>
        <w:gridCol w:w="967"/>
        <w:gridCol w:w="793"/>
        <w:gridCol w:w="1328"/>
      </w:tblGrid>
      <w:tr w:rsidR="004D3718" w:rsidRPr="004D3718" w:rsidTr="004D3718">
        <w:trPr>
          <w:trHeight w:val="12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4D3718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APROPIACION VIGENTE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COMPROMISO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% COMP RP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OBLIGADO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PAGADO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5E1349" w:rsidRPr="004D3718" w:rsidTr="004D3718">
        <w:trPr>
          <w:trHeight w:val="7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E1349" w:rsidRPr="004D3718" w:rsidRDefault="005E1349" w:rsidP="005E1349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>RECURSO 20</w:t>
            </w:r>
          </w:p>
        </w:tc>
        <w:tc>
          <w:tcPr>
            <w:tcW w:w="11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b/>
                <w:sz w:val="18"/>
                <w:szCs w:val="18"/>
                <w:lang w:val="es-MX" w:eastAsia="es-MX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  3.824.267.539 </w:t>
            </w:r>
          </w:p>
        </w:tc>
        <w:tc>
          <w:tcPr>
            <w:tcW w:w="118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  2.453.083.585 </w:t>
            </w:r>
          </w:p>
        </w:tc>
        <w:tc>
          <w:tcPr>
            <w:tcW w:w="58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5E1349" w:rsidRPr="005E1349" w:rsidRDefault="005E1349" w:rsidP="005E1349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  <w:p w:rsidR="005E1349" w:rsidRPr="005E1349" w:rsidRDefault="005E1349" w:rsidP="006D74EA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9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5E1349" w:rsidRPr="005E1349" w:rsidRDefault="005E1349" w:rsidP="005E1349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3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  1.371.183.955 </w:t>
            </w:r>
          </w:p>
        </w:tc>
      </w:tr>
      <w:tr w:rsidR="005E1349" w:rsidRPr="004D3718" w:rsidTr="004D3718">
        <w:trPr>
          <w:trHeight w:val="24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49" w:rsidRPr="004D3718" w:rsidRDefault="005E1349" w:rsidP="005E1349">
            <w:pPr>
              <w:ind w:firstLineChars="200" w:firstLine="360"/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>FORTALECIMIENTO DE LA GESTIÓN DEL CONOCIMIENTO HIDROLÓGICO, METEOROLÓGICO Y AMBIENTAL  NACIONAL</w:t>
            </w:r>
          </w:p>
        </w:tc>
        <w:tc>
          <w:tcPr>
            <w:tcW w:w="118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 xml:space="preserve">           3.824.267.539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 xml:space="preserve">           2.453.083.585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Default="005E1349" w:rsidP="005E134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  <w:p w:rsidR="005E1349" w:rsidRPr="005E1349" w:rsidRDefault="005E1349" w:rsidP="006D74E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>64%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 xml:space="preserve">              876.107.496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132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E1349" w:rsidRPr="005E1349" w:rsidRDefault="005E1349" w:rsidP="005E134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1349">
              <w:rPr>
                <w:rFonts w:ascii="Arial Narrow" w:hAnsi="Arial Narrow" w:cs="Calibri"/>
                <w:sz w:val="18"/>
                <w:szCs w:val="18"/>
              </w:rPr>
              <w:t xml:space="preserve">           1.371.183.955 </w:t>
            </w:r>
          </w:p>
        </w:tc>
      </w:tr>
    </w:tbl>
    <w:p w:rsidR="001E0956" w:rsidRPr="00A414C3" w:rsidRDefault="00BC558F" w:rsidP="00970FA5">
      <w:pPr>
        <w:spacing w:line="276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BC558F" w:rsidRDefault="00BC558F" w:rsidP="00970FA5">
      <w:pPr>
        <w:tabs>
          <w:tab w:val="left" w:pos="284"/>
        </w:tabs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 w:rsidR="006D74EA"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>8</w:t>
      </w:r>
      <w:r w:rsidR="006D74EA">
        <w:rPr>
          <w:rFonts w:ascii="Arial Narrow" w:hAnsi="Arial Narrow" w:cstheme="minorHAnsi"/>
          <w:sz w:val="22"/>
          <w:szCs w:val="22"/>
        </w:rPr>
        <w:t>24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453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>
        <w:rPr>
          <w:rFonts w:ascii="Arial Narrow" w:hAnsi="Arial Narrow" w:cstheme="minorHAnsi"/>
          <w:sz w:val="22"/>
          <w:szCs w:val="22"/>
        </w:rPr>
        <w:t>6</w:t>
      </w:r>
      <w:r w:rsidR="006D74EA">
        <w:rPr>
          <w:rFonts w:ascii="Arial Narrow" w:hAnsi="Arial Narrow" w:cstheme="minorHAnsi"/>
          <w:sz w:val="22"/>
          <w:szCs w:val="22"/>
        </w:rPr>
        <w:t>4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6D74EA">
        <w:rPr>
          <w:rFonts w:ascii="Arial Narrow" w:hAnsi="Arial Narrow" w:cstheme="minorHAnsi"/>
          <w:sz w:val="22"/>
          <w:szCs w:val="22"/>
        </w:rPr>
        <w:t>876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1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6D74EA">
        <w:rPr>
          <w:rFonts w:ascii="Arial Narrow" w:hAnsi="Arial Narrow" w:cstheme="minorHAnsi"/>
          <w:sz w:val="22"/>
          <w:szCs w:val="22"/>
        </w:rPr>
        <w:t>36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</w:t>
      </w: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la gestión institucional por contratar en forma programada las actividades y generar los convenios para desarrollar funciones misionales propias de la entidad y el Ministerio de Ambiente y desarrollo sostenible.</w:t>
      </w:r>
      <w:r w:rsidR="00E01DA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2A1C63" w:rsidRDefault="00A34323" w:rsidP="002A1C63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sz w:val="22"/>
          <w:szCs w:val="22"/>
        </w:rPr>
        <w:br w:type="page"/>
      </w:r>
      <w:r w:rsidR="001E0956" w:rsidRPr="002A1C63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bookmarkStart w:id="11" w:name="_Toc449435614"/>
      <w:bookmarkStart w:id="12" w:name="_Toc8052136"/>
      <w:r w:rsidR="001E0956" w:rsidRPr="002A1C63">
        <w:rPr>
          <w:rFonts w:ascii="Arial Narrow" w:hAnsi="Arial Narrow"/>
          <w:b/>
        </w:rPr>
        <w:t>EJECUCIÓN REZAGO PRESUPUESTAL</w:t>
      </w:r>
      <w:bookmarkEnd w:id="11"/>
      <w:bookmarkEnd w:id="12"/>
    </w:p>
    <w:p w:rsidR="00A34323" w:rsidRPr="00A414C3" w:rsidRDefault="00A34323" w:rsidP="00970FA5">
      <w:pPr>
        <w:tabs>
          <w:tab w:val="left" w:pos="2835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8056E9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r>
        <w:t xml:space="preserve"> </w:t>
      </w:r>
      <w:bookmarkStart w:id="13" w:name="_Toc8052137"/>
      <w:r w:rsidR="004511FB" w:rsidRPr="00FE5273">
        <w:rPr>
          <w:rFonts w:ascii="Arial Narrow" w:hAnsi="Arial Narrow"/>
          <w:b/>
          <w:color w:val="auto"/>
          <w:sz w:val="22"/>
          <w:szCs w:val="22"/>
        </w:rPr>
        <w:t>Reservas Presupuestales 2018</w:t>
      </w:r>
      <w:bookmarkEnd w:id="13"/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158"/>
        <w:gridCol w:w="1770"/>
        <w:gridCol w:w="663"/>
        <w:gridCol w:w="398"/>
        <w:gridCol w:w="1014"/>
        <w:gridCol w:w="1081"/>
        <w:gridCol w:w="1002"/>
        <w:gridCol w:w="1001"/>
      </w:tblGrid>
      <w:tr w:rsidR="001430CA" w:rsidRPr="008973E5" w:rsidTr="008973E5">
        <w:trPr>
          <w:trHeight w:val="492"/>
        </w:trPr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  <w:lang w:val="es-MX" w:eastAsia="es-MX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DEPENDENCIA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RUBRO PPTAL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DESCRIPCION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FUENTE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REC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COMPROMISOS POR OBLIGAR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OBLIGACION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PAGOS</w:t>
            </w:r>
          </w:p>
        </w:tc>
      </w:tr>
      <w:tr w:rsidR="001430CA" w:rsidRPr="008973E5" w:rsidTr="008973E5">
        <w:trPr>
          <w:trHeight w:val="403"/>
        </w:trPr>
        <w:tc>
          <w:tcPr>
            <w:tcW w:w="4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FUNCIONAMIENTO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920.103.404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113.817.892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806.285.512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806.285.512 </w:t>
            </w:r>
          </w:p>
        </w:tc>
      </w:tr>
      <w:tr w:rsidR="008973E5" w:rsidRPr="008973E5" w:rsidTr="008973E5">
        <w:trPr>
          <w:trHeight w:val="630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OFICINA INFORMATICA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PRESTADOS A LAS EMPRESAS Y SERVICIOS DE PRODUCCIÓN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12.000.000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10.500.000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1.500.000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1.500.000 </w:t>
            </w:r>
          </w:p>
        </w:tc>
      </w:tr>
      <w:tr w:rsidR="008973E5" w:rsidRPr="008973E5" w:rsidTr="008973E5">
        <w:trPr>
          <w:trHeight w:val="618"/>
        </w:trPr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SECRETARIA GENERAL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A-02-01-01-003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ACTIVOS FIJOS NO CLASIFICADOS COMO MAQUINARIA Y EQUIPO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37.708.250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37.708.250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37.708.250 </w:t>
            </w:r>
          </w:p>
        </w:tc>
      </w:tr>
      <w:tr w:rsidR="008973E5" w:rsidRPr="008973E5" w:rsidTr="008973E5">
        <w:trPr>
          <w:trHeight w:val="618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A-02-01-01-003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ACTIVOS FIJOS NO CLASIFICADOS COMO MAQUINARIA Y EQUIPO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7.418.015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7.418.015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7.418.015 </w:t>
            </w:r>
          </w:p>
        </w:tc>
      </w:tr>
      <w:tr w:rsidR="008973E5" w:rsidRPr="008973E5" w:rsidTr="008973E5">
        <w:trPr>
          <w:trHeight w:val="504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A-02-01-01-004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MAQUINARIA Y EQUIPO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28.164.971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16.346.944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11.818.027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11.818.027 </w:t>
            </w:r>
          </w:p>
        </w:tc>
      </w:tr>
      <w:tr w:rsidR="008973E5" w:rsidRPr="008973E5" w:rsidTr="008973E5">
        <w:trPr>
          <w:trHeight w:val="820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A-02-02-01-002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20.271.450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20.271.450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8973E5" w:rsidRPr="008973E5" w:rsidTr="008973E5">
        <w:trPr>
          <w:trHeight w:val="820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A-02-02-01-003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OTROS BIENES TRANSPORTABLES (EXCEPTO PRODUCTOS METÁLICOS, MAQUINARIA Y EQUIPO)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1.090.316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1.090.316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1.090.316 </w:t>
            </w:r>
          </w:p>
        </w:tc>
      </w:tr>
      <w:tr w:rsidR="008973E5" w:rsidRPr="008973E5" w:rsidTr="008973E5">
        <w:trPr>
          <w:trHeight w:val="416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A-02-02-01-004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PRODUCTOS METÁLICOS Y PAQUETES DE SOFTWARE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75.241.953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75.241.953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75.241.953 </w:t>
            </w:r>
          </w:p>
        </w:tc>
      </w:tr>
      <w:tr w:rsidR="008973E5" w:rsidRPr="008973E5" w:rsidTr="008973E5">
        <w:trPr>
          <w:trHeight w:val="504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DE LA CONSTRUCCIÓN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6.501.960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6.501.960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6.501.960 </w:t>
            </w:r>
          </w:p>
        </w:tc>
      </w:tr>
      <w:tr w:rsidR="008973E5" w:rsidRPr="008973E5" w:rsidTr="008973E5">
        <w:trPr>
          <w:trHeight w:val="870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219.228.405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219.228.404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219.228.404 </w:t>
            </w:r>
          </w:p>
        </w:tc>
      </w:tr>
      <w:tr w:rsidR="008973E5" w:rsidRPr="008973E5" w:rsidTr="008973E5">
        <w:trPr>
          <w:trHeight w:val="618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PRESTADOS A LAS EMPRESAS Y SERVICIOS DE PRODUCCIÓN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222.438.693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222.438.693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222.438.693 </w:t>
            </w:r>
          </w:p>
        </w:tc>
      </w:tr>
      <w:tr w:rsidR="008973E5" w:rsidRPr="008973E5" w:rsidTr="008973E5">
        <w:trPr>
          <w:trHeight w:val="618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PARA LA COMUNIDAD, SOCIALES Y PERSONALES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57.223.375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52.379.760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4.843.615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4.843.615 </w:t>
            </w:r>
          </w:p>
        </w:tc>
      </w:tr>
      <w:tr w:rsidR="008973E5" w:rsidRPr="008973E5" w:rsidTr="008973E5">
        <w:trPr>
          <w:trHeight w:val="618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A-02-02-02-009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SERVICIOS PARA LA COMUNIDAD, SOCIALES Y PERSONALES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12.569.240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12.569.240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8973E5" w:rsidRPr="008973E5" w:rsidTr="008973E5">
        <w:trPr>
          <w:trHeight w:val="504"/>
        </w:trPr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A-03-02-02-096-001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MEMBRESÍAS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62.500.000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1.750.497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60.749.503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60.749.503 </w:t>
            </w:r>
          </w:p>
        </w:tc>
      </w:tr>
      <w:tr w:rsidR="008973E5" w:rsidRPr="008973E5" w:rsidTr="008973E5">
        <w:trPr>
          <w:trHeight w:val="504"/>
        </w:trPr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SUBDIRECCION METEOROLOGIA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A-02-02-01-004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PRODUCTOS METÁLICOS Y PAQUETES DE SOFTWARE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8973E5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157.746.777 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973E5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157.746.777 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0CA" w:rsidRPr="008973E5" w:rsidRDefault="001430CA" w:rsidP="008973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73E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157.746.777 </w:t>
            </w:r>
          </w:p>
        </w:tc>
      </w:tr>
    </w:tbl>
    <w:p w:rsidR="00046933" w:rsidRPr="00F75A08" w:rsidRDefault="00A10013" w:rsidP="00A10013">
      <w:pPr>
        <w:spacing w:after="20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theme="minorHAnsi"/>
          <w:b/>
        </w:rPr>
        <w:t xml:space="preserve">       </w:t>
      </w:r>
      <w:r w:rsidR="001E0956" w:rsidRPr="00F75A08">
        <w:rPr>
          <w:rFonts w:ascii="Arial Narrow" w:hAnsi="Arial Narrow" w:cstheme="minorHAnsi"/>
          <w:sz w:val="18"/>
          <w:szCs w:val="18"/>
        </w:rPr>
        <w:t>FUENTE: SIIF N</w:t>
      </w:r>
      <w:r w:rsidR="00F75A08">
        <w:rPr>
          <w:rFonts w:ascii="Arial Narrow" w:hAnsi="Arial Narrow" w:cstheme="minorHAnsi"/>
          <w:sz w:val="18"/>
          <w:szCs w:val="18"/>
        </w:rPr>
        <w:t>ACION II</w:t>
      </w:r>
      <w:r w:rsidR="001E0956" w:rsidRPr="00F75A08">
        <w:rPr>
          <w:rFonts w:ascii="Arial Narrow" w:hAnsi="Arial Narrow"/>
          <w:sz w:val="18"/>
          <w:szCs w:val="18"/>
        </w:rPr>
        <w:t xml:space="preserve"> </w:t>
      </w:r>
    </w:p>
    <w:p w:rsidR="007128A8" w:rsidRDefault="007128A8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885"/>
        <w:gridCol w:w="1772"/>
        <w:gridCol w:w="711"/>
        <w:gridCol w:w="428"/>
        <w:gridCol w:w="1209"/>
        <w:gridCol w:w="1066"/>
        <w:gridCol w:w="1080"/>
        <w:gridCol w:w="1105"/>
      </w:tblGrid>
      <w:tr w:rsidR="007128A8" w:rsidRPr="007128A8" w:rsidTr="000820B3">
        <w:trPr>
          <w:trHeight w:val="548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  <w:lang w:val="es-MX" w:eastAsia="es-MX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lastRenderedPageBreak/>
              <w:t>DEPENDENCIA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RUBRO PPTAL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DESCRIPCION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FUENTE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REC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COMPROMISOS POR OBLIGAR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OBLIGACION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PAGOS</w:t>
            </w:r>
          </w:p>
        </w:tc>
      </w:tr>
      <w:tr w:rsidR="007128A8" w:rsidRPr="007128A8" w:rsidTr="000820B3">
        <w:trPr>
          <w:trHeight w:val="317"/>
        </w:trPr>
        <w:tc>
          <w:tcPr>
            <w:tcW w:w="4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INVERSION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4.282.182.184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760.212.937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3.521.969.247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3.518.608.287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15.730.014 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15.730.014 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15.730.014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C-3204-0900-3-0-3204047-02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5.835.000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5.835.000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5.835.000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OFICINA INFORMATICA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730.488.828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363.397.853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367.090.975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367.090.975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SECRETARIA GENERAL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C-3299-0900-1-0-3299006-02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1.394.008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1.394.008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1.394.008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SUBDIRECCION ECOSISTEMAS E INFORMACION AMBIENTAL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16.214.780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16.214.780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C-3204-0900-3-0-3204053-02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168.399.556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29.514.211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138.885.345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138.885.345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CONVENIO 206/2018 MADS-SUB. ECOSISTEMAS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280.000.000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280.000.000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SUBDIRECCION ESTUDIOS AMBIENTALES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C-3204-0900-3-0-3204046-02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3.360.960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3.360.960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7128A8" w:rsidRPr="007128A8" w:rsidTr="000820B3">
        <w:trPr>
          <w:trHeight w:val="1364"/>
        </w:trPr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SUBDIRECCION HIDROLOGIA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DESARROLLO DE HERRAMIENTAS DE INFORMACION Y CONOCIMIENTO PARA LA TOMA DE DECISIONES OPORTUNAS ANTE EVENTOS ADVERSOS DE ORIGEN HIDROMETEREOLOGICO EN EL DEPARTAMENTO DEL CHOCO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1.554.782.699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56.531.129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56.531.129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56.531.129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C-3204-0900-3-0-3204050-02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2.800.000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2.800.000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2.800.000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848.096.213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29.186.094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818.910.120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818.910.120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C-3204-0900-3-0-3204052-02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141.360.219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141.360.219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141.360.219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CONVENIO 204/2018 CAM-SUB.HIDROLOGIA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41.900.000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41.900.000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7128A8" w:rsidRPr="007128A8" w:rsidTr="000820B3">
        <w:trPr>
          <w:trHeight w:val="307"/>
        </w:trPr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SUBDIRECCION METEOROLOGIA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360.000.000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</w:tr>
      <w:tr w:rsidR="007128A8" w:rsidRPr="007128A8" w:rsidTr="000820B3">
        <w:trPr>
          <w:trHeight w:val="317"/>
        </w:trPr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7128A8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55.288.778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128A8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28A8" w:rsidRPr="007128A8" w:rsidRDefault="007128A8" w:rsidP="00712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28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</w:tr>
    </w:tbl>
    <w:p w:rsidR="007128A8" w:rsidRDefault="007128A8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E0E60" w:rsidRDefault="008E0E60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A diciembre 31</w:t>
      </w:r>
      <w:r w:rsidR="00C41CA2">
        <w:rPr>
          <w:rFonts w:ascii="Arial Narrow" w:hAnsi="Arial Narrow" w:cstheme="minorHAnsi"/>
          <w:sz w:val="22"/>
          <w:szCs w:val="22"/>
        </w:rPr>
        <w:t xml:space="preserve">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se constituyeron reservas </w:t>
      </w:r>
      <w:r>
        <w:rPr>
          <w:rFonts w:ascii="Arial Narrow" w:hAnsi="Arial Narrow" w:cstheme="minorHAnsi"/>
          <w:sz w:val="22"/>
          <w:szCs w:val="22"/>
        </w:rPr>
        <w:t xml:space="preserve">presupuestales </w:t>
      </w:r>
      <w:r w:rsidRPr="00A414C3">
        <w:rPr>
          <w:rFonts w:ascii="Arial Narrow" w:hAnsi="Arial Narrow" w:cstheme="minorHAnsi"/>
          <w:sz w:val="22"/>
          <w:szCs w:val="22"/>
        </w:rPr>
        <w:t>conformadas por: Funcionamiento $</w:t>
      </w:r>
      <w:r>
        <w:rPr>
          <w:rFonts w:ascii="Arial Narrow" w:hAnsi="Arial Narrow" w:cstheme="minorHAnsi"/>
          <w:sz w:val="22"/>
          <w:szCs w:val="22"/>
        </w:rPr>
        <w:t xml:space="preserve">920.1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</w:t>
      </w:r>
      <w:r>
        <w:rPr>
          <w:rFonts w:ascii="Arial Narrow" w:hAnsi="Arial Narrow" w:cstheme="minorHAnsi"/>
          <w:sz w:val="22"/>
          <w:szCs w:val="22"/>
        </w:rPr>
        <w:t xml:space="preserve">de los cuales $855.1 millones fueron por disponibilidad de PAC </w:t>
      </w:r>
      <w:r w:rsidRPr="00A414C3">
        <w:rPr>
          <w:rFonts w:ascii="Arial Narrow" w:hAnsi="Arial Narrow" w:cstheme="minorHAnsi"/>
          <w:sz w:val="22"/>
          <w:szCs w:val="22"/>
        </w:rPr>
        <w:t xml:space="preserve">e inversión </w:t>
      </w:r>
      <w:r>
        <w:rPr>
          <w:rFonts w:ascii="Arial Narrow" w:hAnsi="Arial Narrow" w:cstheme="minorHAnsi"/>
          <w:sz w:val="22"/>
          <w:szCs w:val="22"/>
        </w:rPr>
        <w:t xml:space="preserve">de </w:t>
      </w:r>
      <w:r w:rsidRPr="00A414C3">
        <w:rPr>
          <w:rFonts w:ascii="Arial Narrow" w:hAnsi="Arial Narrow" w:cstheme="minorHAnsi"/>
          <w:sz w:val="22"/>
          <w:szCs w:val="22"/>
        </w:rPr>
        <w:t>$</w:t>
      </w:r>
      <w:r>
        <w:rPr>
          <w:rFonts w:ascii="Arial Narrow" w:hAnsi="Arial Narrow" w:cstheme="minorHAnsi"/>
          <w:sz w:val="22"/>
          <w:szCs w:val="22"/>
        </w:rPr>
        <w:t>4.282.1 millones de los cuales $2.821.0 fueron por disponibilidad de PAC.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4C39C1">
        <w:rPr>
          <w:rFonts w:ascii="Arial Narrow" w:hAnsi="Arial Narrow" w:cstheme="minorHAnsi"/>
          <w:sz w:val="22"/>
          <w:szCs w:val="22"/>
        </w:rPr>
        <w:t>A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AA5449">
        <w:rPr>
          <w:rFonts w:ascii="Arial Narrow" w:hAnsi="Arial Narrow" w:cstheme="minorHAnsi"/>
          <w:sz w:val="22"/>
          <w:szCs w:val="22"/>
        </w:rPr>
        <w:t>junio</w:t>
      </w:r>
      <w:r w:rsidR="00BF5E5A">
        <w:rPr>
          <w:rFonts w:ascii="Arial Narrow" w:hAnsi="Arial Narrow" w:cstheme="minorHAnsi"/>
          <w:sz w:val="22"/>
          <w:szCs w:val="22"/>
        </w:rPr>
        <w:t xml:space="preserve"> 30 de 2019</w:t>
      </w:r>
      <w:r w:rsidRPr="00A414C3">
        <w:rPr>
          <w:rFonts w:ascii="Arial Narrow" w:hAnsi="Arial Narrow" w:cstheme="minorHAnsi"/>
          <w:sz w:val="22"/>
          <w:szCs w:val="22"/>
        </w:rPr>
        <w:t xml:space="preserve"> la e</w:t>
      </w:r>
      <w:r w:rsidR="00C06122">
        <w:rPr>
          <w:rFonts w:ascii="Arial Narrow" w:hAnsi="Arial Narrow" w:cstheme="minorHAnsi"/>
          <w:sz w:val="22"/>
          <w:szCs w:val="22"/>
        </w:rPr>
        <w:t>jecución presenta pago</w:t>
      </w:r>
      <w:r w:rsidR="008E0E60">
        <w:rPr>
          <w:rFonts w:ascii="Arial Narrow" w:hAnsi="Arial Narrow" w:cstheme="minorHAnsi"/>
          <w:sz w:val="22"/>
          <w:szCs w:val="22"/>
        </w:rPr>
        <w:t>s</w:t>
      </w:r>
      <w:r w:rsidR="00C06122">
        <w:rPr>
          <w:rFonts w:ascii="Arial Narrow" w:hAnsi="Arial Narrow" w:cstheme="minorHAnsi"/>
          <w:sz w:val="22"/>
          <w:szCs w:val="22"/>
        </w:rPr>
        <w:t xml:space="preserve"> </w:t>
      </w:r>
      <w:r w:rsidR="006A22E4">
        <w:rPr>
          <w:rFonts w:ascii="Arial Narrow" w:hAnsi="Arial Narrow" w:cstheme="minorHAnsi"/>
          <w:sz w:val="22"/>
          <w:szCs w:val="22"/>
        </w:rPr>
        <w:t>de</w:t>
      </w:r>
      <w:r w:rsidR="00C06122">
        <w:rPr>
          <w:rFonts w:ascii="Arial Narrow" w:hAnsi="Arial Narrow" w:cstheme="minorHAnsi"/>
          <w:sz w:val="22"/>
          <w:szCs w:val="22"/>
        </w:rPr>
        <w:t xml:space="preserve"> $</w:t>
      </w:r>
      <w:r w:rsidR="00C06122" w:rsidRPr="00C06122">
        <w:rPr>
          <w:rFonts w:ascii="Arial Narrow" w:hAnsi="Arial Narrow" w:cstheme="minorHAnsi"/>
          <w:sz w:val="22"/>
          <w:szCs w:val="22"/>
        </w:rPr>
        <w:t>80</w:t>
      </w:r>
      <w:r w:rsidR="00BF5E5A">
        <w:rPr>
          <w:rFonts w:ascii="Arial Narrow" w:hAnsi="Arial Narrow" w:cstheme="minorHAnsi"/>
          <w:sz w:val="22"/>
          <w:szCs w:val="22"/>
        </w:rPr>
        <w:t>6</w:t>
      </w:r>
      <w:r w:rsidR="00C06122" w:rsidRPr="00C06122">
        <w:rPr>
          <w:rFonts w:ascii="Arial Narrow" w:hAnsi="Arial Narrow" w:cstheme="minorHAnsi"/>
          <w:sz w:val="22"/>
          <w:szCs w:val="22"/>
        </w:rPr>
        <w:t>.</w:t>
      </w:r>
      <w:r w:rsidR="00BF5E5A">
        <w:rPr>
          <w:rFonts w:ascii="Arial Narrow" w:hAnsi="Arial Narrow" w:cstheme="minorHAnsi"/>
          <w:sz w:val="22"/>
          <w:szCs w:val="22"/>
        </w:rPr>
        <w:t>2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AA5449" w:rsidRPr="00A414C3">
        <w:rPr>
          <w:rFonts w:ascii="Arial Narrow" w:hAnsi="Arial Narrow" w:cstheme="minorHAnsi"/>
          <w:sz w:val="22"/>
          <w:szCs w:val="22"/>
        </w:rPr>
        <w:t>millones</w:t>
      </w:r>
      <w:r w:rsidR="00AA5449">
        <w:rPr>
          <w:rFonts w:ascii="Arial Narrow" w:hAnsi="Arial Narrow" w:cstheme="minorHAnsi"/>
          <w:sz w:val="22"/>
          <w:szCs w:val="22"/>
        </w:rPr>
        <w:t xml:space="preserve"> por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C06122">
        <w:rPr>
          <w:rFonts w:ascii="Arial Narrow" w:hAnsi="Arial Narrow" w:cstheme="minorHAnsi"/>
          <w:sz w:val="22"/>
          <w:szCs w:val="22"/>
        </w:rPr>
        <w:t xml:space="preserve">funcionamiento y </w:t>
      </w:r>
      <w:r w:rsidR="006A22E4">
        <w:rPr>
          <w:rFonts w:ascii="Arial Narrow" w:hAnsi="Arial Narrow" w:cstheme="minorHAnsi"/>
          <w:sz w:val="22"/>
          <w:szCs w:val="22"/>
        </w:rPr>
        <w:t xml:space="preserve">de </w:t>
      </w:r>
      <w:r w:rsidR="00C06122">
        <w:rPr>
          <w:rFonts w:ascii="Arial Narrow" w:hAnsi="Arial Narrow" w:cstheme="minorHAnsi"/>
          <w:sz w:val="22"/>
          <w:szCs w:val="22"/>
        </w:rPr>
        <w:t>$</w:t>
      </w:r>
      <w:r w:rsidR="00C06122" w:rsidRPr="00A414C3">
        <w:rPr>
          <w:rFonts w:ascii="Arial Narrow" w:hAnsi="Arial Narrow" w:cstheme="minorHAnsi"/>
          <w:sz w:val="22"/>
          <w:szCs w:val="22"/>
        </w:rPr>
        <w:t>3</w:t>
      </w:r>
      <w:r w:rsidR="00C06122">
        <w:rPr>
          <w:rFonts w:ascii="Arial Narrow" w:hAnsi="Arial Narrow" w:cstheme="minorHAnsi"/>
          <w:sz w:val="22"/>
          <w:szCs w:val="22"/>
        </w:rPr>
        <w:t>.</w:t>
      </w:r>
      <w:r w:rsidR="00BF5E5A">
        <w:rPr>
          <w:rFonts w:ascii="Arial Narrow" w:hAnsi="Arial Narrow" w:cstheme="minorHAnsi"/>
          <w:sz w:val="22"/>
          <w:szCs w:val="22"/>
        </w:rPr>
        <w:t>518.6</w:t>
      </w:r>
      <w:r w:rsidR="00C06122" w:rsidRPr="00A414C3">
        <w:rPr>
          <w:rFonts w:ascii="Arial Narrow" w:hAnsi="Arial Narrow" w:cstheme="minorHAnsi"/>
          <w:sz w:val="22"/>
          <w:szCs w:val="22"/>
        </w:rPr>
        <w:t xml:space="preserve"> millones</w:t>
      </w:r>
      <w:r w:rsidR="006A22E4">
        <w:rPr>
          <w:rFonts w:ascii="Arial Narrow" w:hAnsi="Arial Narrow" w:cstheme="minorHAnsi"/>
          <w:sz w:val="22"/>
          <w:szCs w:val="22"/>
        </w:rPr>
        <w:t xml:space="preserve"> por inversión</w:t>
      </w:r>
      <w:r w:rsidR="008C6B06">
        <w:rPr>
          <w:rFonts w:ascii="Arial Narrow" w:hAnsi="Arial Narrow" w:cstheme="minorHAnsi"/>
          <w:sz w:val="22"/>
          <w:szCs w:val="22"/>
        </w:rPr>
        <w:t xml:space="preserve"> y compromisos por obligar de $113.8 </w:t>
      </w:r>
      <w:r w:rsidR="008C6B06" w:rsidRPr="00A414C3">
        <w:rPr>
          <w:rFonts w:ascii="Arial Narrow" w:hAnsi="Arial Narrow" w:cstheme="minorHAnsi"/>
          <w:sz w:val="22"/>
          <w:szCs w:val="22"/>
        </w:rPr>
        <w:t>millones</w:t>
      </w:r>
      <w:r w:rsidR="008C6B06">
        <w:rPr>
          <w:rFonts w:ascii="Arial Narrow" w:hAnsi="Arial Narrow" w:cstheme="minorHAnsi"/>
          <w:sz w:val="22"/>
          <w:szCs w:val="22"/>
        </w:rPr>
        <w:t xml:space="preserve"> por funcionamiento y de $760.2 </w:t>
      </w:r>
      <w:r w:rsidR="008C6B06" w:rsidRPr="00A414C3">
        <w:rPr>
          <w:rFonts w:ascii="Arial Narrow" w:hAnsi="Arial Narrow" w:cstheme="minorHAnsi"/>
          <w:sz w:val="22"/>
          <w:szCs w:val="22"/>
        </w:rPr>
        <w:t>millones</w:t>
      </w:r>
      <w:r w:rsidR="008C6B06">
        <w:rPr>
          <w:rFonts w:ascii="Arial Narrow" w:hAnsi="Arial Narrow" w:cstheme="minorHAnsi"/>
          <w:sz w:val="22"/>
          <w:szCs w:val="22"/>
        </w:rPr>
        <w:t xml:space="preserve"> por inversión.</w:t>
      </w:r>
    </w:p>
    <w:p w:rsidR="00D86E6C" w:rsidRPr="00FE5273" w:rsidRDefault="001E0956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4" w:name="_Toc8052138"/>
      <w:r w:rsidRPr="00FE5273">
        <w:rPr>
          <w:rFonts w:ascii="Arial Narrow" w:hAnsi="Arial Narrow"/>
          <w:b/>
          <w:color w:val="auto"/>
          <w:sz w:val="22"/>
          <w:szCs w:val="22"/>
        </w:rPr>
        <w:t>Cuentas por Pagar 201</w:t>
      </w:r>
      <w:r w:rsidR="008143FE" w:rsidRPr="00FE5273">
        <w:rPr>
          <w:rFonts w:ascii="Arial Narrow" w:hAnsi="Arial Narrow"/>
          <w:b/>
          <w:color w:val="auto"/>
          <w:sz w:val="22"/>
          <w:szCs w:val="22"/>
        </w:rPr>
        <w:t>8</w:t>
      </w:r>
      <w:bookmarkEnd w:id="14"/>
    </w:p>
    <w:p w:rsidR="00AE3C3D" w:rsidRDefault="00AE3C3D" w:rsidP="008056E9">
      <w:pPr>
        <w:spacing w:after="200" w:line="276" w:lineRule="auto"/>
        <w:jc w:val="both"/>
        <w:rPr>
          <w:rFonts w:ascii="Arial Narrow" w:hAnsi="Arial Narrow" w:cstheme="minorHAnsi"/>
        </w:rPr>
      </w:pPr>
    </w:p>
    <w:p w:rsidR="001E0956" w:rsidRPr="00FE5273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FE5273">
        <w:rPr>
          <w:rFonts w:ascii="Arial Narrow" w:hAnsi="Arial Narrow" w:cstheme="minorHAnsi"/>
          <w:sz w:val="22"/>
          <w:szCs w:val="22"/>
        </w:rPr>
        <w:t>Las cuentas por pagar constituidas a diciembre 31 de 201</w:t>
      </w:r>
      <w:r w:rsidR="00E37AA1" w:rsidRPr="00FE5273">
        <w:rPr>
          <w:rFonts w:ascii="Arial Narrow" w:hAnsi="Arial Narrow" w:cstheme="minorHAnsi"/>
          <w:sz w:val="22"/>
          <w:szCs w:val="22"/>
        </w:rPr>
        <w:t>8</w:t>
      </w:r>
      <w:r w:rsidR="00E94DD9" w:rsidRPr="00FE5273">
        <w:rPr>
          <w:rFonts w:ascii="Arial Narrow" w:hAnsi="Arial Narrow" w:cstheme="minorHAnsi"/>
          <w:sz w:val="22"/>
          <w:szCs w:val="22"/>
        </w:rPr>
        <w:t xml:space="preserve"> fueron de $1.222.7</w:t>
      </w:r>
      <w:r w:rsidRPr="00FE5273">
        <w:rPr>
          <w:rFonts w:ascii="Arial Narrow" w:hAnsi="Arial Narrow" w:cstheme="minorHAnsi"/>
          <w:sz w:val="22"/>
          <w:szCs w:val="22"/>
        </w:rPr>
        <w:t xml:space="preserve"> millones. </w:t>
      </w:r>
    </w:p>
    <w:p w:rsidR="001E0956" w:rsidRPr="00A414C3" w:rsidRDefault="001E0956" w:rsidP="008056E9">
      <w:pPr>
        <w:pStyle w:val="Prrafodelista"/>
        <w:ind w:left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 xml:space="preserve">A </w:t>
      </w:r>
      <w:r w:rsidR="00AA5449">
        <w:rPr>
          <w:rFonts w:ascii="Arial Narrow" w:hAnsi="Arial Narrow" w:cstheme="minorHAnsi"/>
        </w:rPr>
        <w:t>junio</w:t>
      </w:r>
      <w:r w:rsidRPr="00A414C3">
        <w:rPr>
          <w:rFonts w:ascii="Arial Narrow" w:hAnsi="Arial Narrow" w:cstheme="minorHAnsi"/>
        </w:rPr>
        <w:t xml:space="preserve"> 3</w:t>
      </w:r>
      <w:r w:rsidR="00B269DB">
        <w:rPr>
          <w:rFonts w:ascii="Arial Narrow" w:hAnsi="Arial Narrow" w:cstheme="minorHAnsi"/>
        </w:rPr>
        <w:t>0</w:t>
      </w:r>
      <w:r w:rsidRPr="00A414C3">
        <w:rPr>
          <w:rFonts w:ascii="Arial Narrow" w:hAnsi="Arial Narrow" w:cstheme="minorHAnsi"/>
        </w:rPr>
        <w:t xml:space="preserve"> de 201</w:t>
      </w:r>
      <w:r w:rsidR="00B269DB">
        <w:rPr>
          <w:rFonts w:ascii="Arial Narrow" w:hAnsi="Arial Narrow" w:cstheme="minorHAnsi"/>
        </w:rPr>
        <w:t>9</w:t>
      </w:r>
      <w:r w:rsidRPr="00A414C3">
        <w:rPr>
          <w:rFonts w:ascii="Arial Narrow" w:hAnsi="Arial Narrow" w:cstheme="minorHAnsi"/>
        </w:rPr>
        <w:t xml:space="preserve"> los compromisos pendientes por cancelar que en su mayoría corresponden a saldos de los contratistas se pagaron en su totalidad, tal como se muestra en el cuadro.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850"/>
        <w:gridCol w:w="567"/>
        <w:gridCol w:w="992"/>
        <w:gridCol w:w="1134"/>
      </w:tblGrid>
      <w:tr w:rsidR="000A6F82" w:rsidRPr="00212607" w:rsidTr="00B87A29">
        <w:trPr>
          <w:trHeight w:val="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1E0956">
            <w:pPr>
              <w:rPr>
                <w:rFonts w:ascii="Arial Narrow" w:hAnsi="Arial Narrow"/>
                <w:b/>
                <w:bCs/>
                <w:sz w:val="14"/>
                <w:szCs w:val="18"/>
                <w:lang w:val="es-MX" w:eastAsia="es-MX"/>
              </w:rPr>
            </w:pPr>
            <w:r w:rsidRPr="00A414C3">
              <w:rPr>
                <w:rFonts w:ascii="Arial Narrow" w:hAnsi="Arial Narrow" w:cstheme="minorHAnsi"/>
                <w:color w:val="FF0000"/>
              </w:rPr>
              <w:t xml:space="preserve">      </w:t>
            </w:r>
            <w:r w:rsidR="000A6F82"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DEPENDENCIA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REC.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CXP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PAGO</w:t>
            </w:r>
          </w:p>
        </w:tc>
      </w:tr>
      <w:tr w:rsidR="00E94DD9" w:rsidRPr="00212607" w:rsidTr="00B87A29">
        <w:trPr>
          <w:trHeight w:val="24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FUNCIONAMIENTO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SECRETARIA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GASTOS DE 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INFORMATICA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</w:tr>
      <w:tr w:rsidR="000A6F82" w:rsidRPr="00212607" w:rsidTr="00B87A29">
        <w:trPr>
          <w:trHeight w:val="2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INVERSIOIN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ECOSISTEMAS E INFORMACION AMBIENTAL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 204/2018 CAM-SUB.HIDROLOGIA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344/2017 IDIGER-OF.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ACREDITACION LABORATORIO-SUB.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019/2011 CARBONES CERREJON LIMITED-SH. REDES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212607">
              <w:rPr>
                <w:rFonts w:ascii="Calibri" w:hAnsi="Calibri"/>
                <w:b/>
                <w:bCs/>
                <w:sz w:val="14"/>
                <w:szCs w:val="18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</w:tr>
    </w:tbl>
    <w:p w:rsidR="001E0956" w:rsidRPr="00E94DD9" w:rsidRDefault="001E0956" w:rsidP="00B6276C">
      <w:pPr>
        <w:pStyle w:val="Prrafodelista"/>
        <w:ind w:left="360"/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color w:val="FF0000"/>
        </w:rPr>
        <w:t xml:space="preserve">  </w:t>
      </w:r>
      <w:r w:rsidRPr="00A414C3">
        <w:rPr>
          <w:rFonts w:ascii="Arial Narrow" w:hAnsi="Arial Narrow" w:cstheme="minorHAnsi"/>
        </w:rPr>
        <w:t xml:space="preserve">  </w:t>
      </w:r>
      <w:r w:rsidRPr="00E94DD9">
        <w:rPr>
          <w:rFonts w:ascii="Arial Narrow" w:hAnsi="Arial Narrow" w:cstheme="minorHAnsi"/>
          <w:sz w:val="16"/>
          <w:szCs w:val="16"/>
        </w:rPr>
        <w:t xml:space="preserve">FUENTE: SIIF NACION II. Grupo de </w:t>
      </w:r>
      <w:r w:rsidR="00E94DD9" w:rsidRPr="00E94DD9">
        <w:rPr>
          <w:rFonts w:ascii="Arial Narrow" w:hAnsi="Arial Narrow" w:cstheme="minorHAnsi"/>
          <w:sz w:val="16"/>
          <w:szCs w:val="16"/>
        </w:rPr>
        <w:t>Planeación</w:t>
      </w:r>
    </w:p>
    <w:p w:rsidR="001E0956" w:rsidRPr="00A414C3" w:rsidRDefault="001E0956" w:rsidP="00AE3C3D">
      <w:pPr>
        <w:pStyle w:val="Ttulo1"/>
      </w:pPr>
      <w:bookmarkStart w:id="15" w:name="_Toc449435615"/>
      <w:bookmarkStart w:id="16" w:name="_Toc8052139"/>
      <w:r w:rsidRPr="00A414C3">
        <w:lastRenderedPageBreak/>
        <w:t>ACCIONES TOMADAS</w:t>
      </w:r>
      <w:bookmarkEnd w:id="15"/>
      <w:bookmarkEnd w:id="16"/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4567A" w:rsidRDefault="00F4567A" w:rsidP="00F4567A">
      <w:pPr>
        <w:jc w:val="both"/>
      </w:pPr>
    </w:p>
    <w:p w:rsidR="00C72121" w:rsidRPr="003911F0" w:rsidRDefault="001E0956" w:rsidP="00C72121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Es necesario mencionar que el nivel de ejecución </w:t>
      </w:r>
      <w:r w:rsidR="000966F2">
        <w:rPr>
          <w:rFonts w:ascii="Arial Narrow" w:hAnsi="Arial Narrow" w:cstheme="minorHAnsi"/>
        </w:rPr>
        <w:t>hasta el segundo</w:t>
      </w:r>
      <w:r w:rsidRPr="001F1125">
        <w:rPr>
          <w:rFonts w:ascii="Arial Narrow" w:hAnsi="Arial Narrow" w:cstheme="minorHAnsi"/>
        </w:rPr>
        <w:t xml:space="preserve"> trimestre es </w:t>
      </w:r>
      <w:r w:rsidR="00391DB0">
        <w:rPr>
          <w:rFonts w:ascii="Arial Narrow" w:hAnsi="Arial Narrow" w:cstheme="minorHAnsi"/>
        </w:rPr>
        <w:t>medi</w:t>
      </w:r>
      <w:r w:rsidRPr="001F1125">
        <w:rPr>
          <w:rFonts w:ascii="Arial Narrow" w:hAnsi="Arial Narrow" w:cstheme="minorHAnsi"/>
        </w:rPr>
        <w:t>o</w:t>
      </w:r>
      <w:r w:rsidR="001F49AC">
        <w:rPr>
          <w:rFonts w:ascii="Arial Narrow" w:hAnsi="Arial Narrow" w:cstheme="minorHAnsi"/>
        </w:rPr>
        <w:t>,</w:t>
      </w:r>
      <w:r w:rsidRPr="001F1125">
        <w:rPr>
          <w:rFonts w:ascii="Arial Narrow" w:hAnsi="Arial Narrow" w:cstheme="minorHAnsi"/>
        </w:rPr>
        <w:t xml:space="preserve"> </w:t>
      </w:r>
      <w:r w:rsidR="00C72121">
        <w:rPr>
          <w:rFonts w:ascii="Arial Narrow" w:hAnsi="Arial Narrow" w:cstheme="minorHAnsi"/>
        </w:rPr>
        <w:t xml:space="preserve">debido </w:t>
      </w:r>
      <w:r w:rsidR="001F49AC">
        <w:rPr>
          <w:rFonts w:ascii="Arial Narrow" w:hAnsi="Arial Narrow" w:cstheme="minorHAnsi"/>
        </w:rPr>
        <w:t>a que e</w:t>
      </w:r>
      <w:r w:rsidR="00C72121">
        <w:rPr>
          <w:rFonts w:ascii="Arial Narrow" w:hAnsi="Arial Narrow" w:cstheme="minorHAnsi"/>
        </w:rPr>
        <w:t xml:space="preserve">l </w:t>
      </w:r>
      <w:r w:rsidR="00C72121" w:rsidRPr="003911F0">
        <w:rPr>
          <w:rFonts w:ascii="Arial Narrow" w:hAnsi="Arial Narrow" w:cstheme="minorHAnsi"/>
        </w:rPr>
        <w:t xml:space="preserve">bloqueo de los recursos que fueron asignados inicialmente, hicieron que se priorizaran </w:t>
      </w:r>
      <w:r w:rsidR="00AA5449">
        <w:rPr>
          <w:rFonts w:ascii="Arial Narrow" w:hAnsi="Arial Narrow" w:cstheme="minorHAnsi"/>
        </w:rPr>
        <w:t>alguna</w:t>
      </w:r>
      <w:r w:rsidR="00C72121">
        <w:rPr>
          <w:rFonts w:ascii="Arial Narrow" w:hAnsi="Arial Narrow" w:cstheme="minorHAnsi"/>
        </w:rPr>
        <w:t xml:space="preserve">s </w:t>
      </w:r>
      <w:r w:rsidR="00AA5449">
        <w:rPr>
          <w:rFonts w:ascii="Arial Narrow" w:hAnsi="Arial Narrow" w:cstheme="minorHAnsi"/>
        </w:rPr>
        <w:t xml:space="preserve">actividades </w:t>
      </w:r>
      <w:r w:rsidR="00C72121">
        <w:rPr>
          <w:rFonts w:ascii="Arial Narrow" w:hAnsi="Arial Narrow" w:cstheme="minorHAnsi"/>
        </w:rPr>
        <w:t>y</w:t>
      </w:r>
      <w:r w:rsidR="001F49AC">
        <w:rPr>
          <w:rFonts w:ascii="Arial Narrow" w:hAnsi="Arial Narrow" w:cstheme="minorHAnsi"/>
        </w:rPr>
        <w:t xml:space="preserve"> otros se aplazara</w:t>
      </w:r>
      <w:r w:rsidR="00C72121" w:rsidRPr="003911F0">
        <w:rPr>
          <w:rFonts w:ascii="Arial Narrow" w:hAnsi="Arial Narrow" w:cstheme="minorHAnsi"/>
        </w:rPr>
        <w:t>n.</w:t>
      </w:r>
    </w:p>
    <w:p w:rsidR="003911F0" w:rsidRDefault="00C72121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la contratación de servicios profesionales</w:t>
      </w:r>
      <w:r w:rsidR="00AA5449">
        <w:rPr>
          <w:rFonts w:ascii="Arial Narrow" w:hAnsi="Arial Narrow" w:cstheme="minorHAnsi"/>
        </w:rPr>
        <w:t xml:space="preserve"> por perfiles difícil de ubicar</w:t>
      </w:r>
    </w:p>
    <w:p w:rsidR="003911F0" w:rsidRPr="003911F0" w:rsidRDefault="005B502C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el trámite de pago de los observadores del IDEAM, quienes toman la información de las estaciones que están ubicadas en sitio remotos a la</w:t>
      </w:r>
      <w:r w:rsidR="00AA5449">
        <w:rPr>
          <w:rFonts w:ascii="Arial Narrow" w:hAnsi="Arial Narrow" w:cstheme="minorHAnsi"/>
        </w:rPr>
        <w:t>s ciudades principales del país</w:t>
      </w:r>
    </w:p>
    <w:p w:rsidR="003911F0" w:rsidRP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 xml:space="preserve">No se han recibido los </w:t>
      </w:r>
      <w:r w:rsidR="001F49AC" w:rsidRPr="003911F0">
        <w:rPr>
          <w:rFonts w:ascii="Arial Narrow" w:hAnsi="Arial Narrow" w:cstheme="minorHAnsi"/>
        </w:rPr>
        <w:t>servicios y</w:t>
      </w:r>
      <w:r w:rsidRPr="003911F0">
        <w:rPr>
          <w:rFonts w:ascii="Arial Narrow" w:hAnsi="Arial Narrow" w:cstheme="minorHAnsi"/>
        </w:rPr>
        <w:t xml:space="preserve"> bienes contratados, </w:t>
      </w:r>
      <w:r w:rsidR="005B502C" w:rsidRPr="003911F0">
        <w:rPr>
          <w:rFonts w:ascii="Arial Narrow" w:hAnsi="Arial Narrow" w:cstheme="minorHAnsi"/>
        </w:rPr>
        <w:t>sobre todo</w:t>
      </w:r>
      <w:r w:rsidRPr="003911F0">
        <w:rPr>
          <w:rFonts w:ascii="Arial Narrow" w:hAnsi="Arial Narrow" w:cstheme="minorHAnsi"/>
        </w:rPr>
        <w:t xml:space="preserve"> en </w:t>
      </w:r>
      <w:r w:rsidR="00AA5449">
        <w:rPr>
          <w:rFonts w:ascii="Arial Narrow" w:hAnsi="Arial Narrow" w:cstheme="minorHAnsi"/>
        </w:rPr>
        <w:t>los convenios con universidades</w:t>
      </w:r>
    </w:p>
    <w:p w:rsidR="003911F0" w:rsidRP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>La contratación del IDEAM en su mayoría son contratos de prestación de servicios y su ejecución</w:t>
      </w:r>
      <w:r w:rsidR="00AA5449">
        <w:rPr>
          <w:rFonts w:ascii="Arial Narrow" w:hAnsi="Arial Narrow" w:cstheme="minorHAnsi"/>
        </w:rPr>
        <w:t xml:space="preserve"> se realiza en forma</w:t>
      </w:r>
      <w:r w:rsidRPr="003911F0">
        <w:rPr>
          <w:rFonts w:ascii="Arial Narrow" w:hAnsi="Arial Narrow" w:cstheme="minorHAnsi"/>
        </w:rPr>
        <w:t xml:space="preserve"> mensual, así como la obligación y </w:t>
      </w:r>
      <w:r w:rsidR="005B502C">
        <w:rPr>
          <w:rFonts w:ascii="Arial Narrow" w:hAnsi="Arial Narrow" w:cstheme="minorHAnsi"/>
        </w:rPr>
        <w:t xml:space="preserve">los </w:t>
      </w:r>
      <w:r w:rsidRPr="003911F0">
        <w:rPr>
          <w:rFonts w:ascii="Arial Narrow" w:hAnsi="Arial Narrow" w:cstheme="minorHAnsi"/>
        </w:rPr>
        <w:t>pagos.</w:t>
      </w: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El instituto requiere fortalecer la planta de personal para contar con profesionales, que contribuyan a llenar esos vacíos que presenta el instituto en el grupo de </w:t>
      </w:r>
      <w:r w:rsidR="0010021E">
        <w:rPr>
          <w:rFonts w:ascii="Arial Narrow" w:hAnsi="Arial Narrow" w:cstheme="minorHAnsi"/>
        </w:rPr>
        <w:t>Operación de R</w:t>
      </w:r>
      <w:r w:rsidRPr="001F1125">
        <w:rPr>
          <w:rFonts w:ascii="Arial Narrow" w:hAnsi="Arial Narrow" w:cstheme="minorHAnsi"/>
        </w:rPr>
        <w:t xml:space="preserve">edes </w:t>
      </w:r>
      <w:r w:rsidR="0010021E">
        <w:rPr>
          <w:rFonts w:ascii="Arial Narrow" w:hAnsi="Arial Narrow" w:cstheme="minorHAnsi"/>
        </w:rPr>
        <w:t>A</w:t>
      </w:r>
      <w:r w:rsidRPr="001F1125">
        <w:rPr>
          <w:rFonts w:ascii="Arial Narrow" w:hAnsi="Arial Narrow" w:cstheme="minorHAnsi"/>
        </w:rPr>
        <w:t xml:space="preserve">mbientales, Meteorología </w:t>
      </w:r>
      <w:r w:rsidR="0010021E">
        <w:rPr>
          <w:rFonts w:ascii="Arial Narrow" w:hAnsi="Arial Narrow" w:cstheme="minorHAnsi"/>
        </w:rPr>
        <w:t>Aeronáutica, Pronóstico y A</w:t>
      </w:r>
      <w:r w:rsidRPr="001F1125">
        <w:rPr>
          <w:rFonts w:ascii="Arial Narrow" w:hAnsi="Arial Narrow" w:cstheme="minorHAnsi"/>
        </w:rPr>
        <w:t xml:space="preserve">lertas y en general en la parte misional, considerando que el </w:t>
      </w:r>
      <w:r w:rsidR="00DF7D45" w:rsidRPr="001F1125">
        <w:rPr>
          <w:rFonts w:ascii="Arial Narrow" w:hAnsi="Arial Narrow" w:cstheme="minorHAnsi"/>
        </w:rPr>
        <w:t>IDEAM</w:t>
      </w:r>
      <w:r w:rsidRPr="001F1125">
        <w:rPr>
          <w:rFonts w:ascii="Arial Narrow" w:hAnsi="Arial Narrow" w:cstheme="minorHAnsi"/>
        </w:rPr>
        <w:t xml:space="preserve"> es la entidad encargada de generar la información naciona</w:t>
      </w:r>
      <w:r w:rsidR="0010021E">
        <w:rPr>
          <w:rFonts w:ascii="Arial Narrow" w:hAnsi="Arial Narrow" w:cstheme="minorHAnsi"/>
        </w:rPr>
        <w:t>l para la Unidad Nacional de Gestión del Riesgo de D</w:t>
      </w:r>
      <w:r w:rsidRPr="001F1125">
        <w:rPr>
          <w:rFonts w:ascii="Arial Narrow" w:hAnsi="Arial Narrow" w:cstheme="minorHAnsi"/>
        </w:rPr>
        <w:t xml:space="preserve">esastres. </w:t>
      </w:r>
    </w:p>
    <w:p w:rsidR="00F4567A" w:rsidRPr="001F1125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Default="00F4567A" w:rsidP="00B005E3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>Con relación al proyecto de Fortalecimiento de la gestión del conocimiento hidrológico, meteorológico y ambiental nacional se aplazan recursos en diferentes áreas de servicios</w:t>
      </w:r>
      <w:r w:rsidR="00B178BB">
        <w:rPr>
          <w:rFonts w:ascii="Arial Narrow" w:hAnsi="Arial Narrow" w:cstheme="minorHAnsi"/>
        </w:rPr>
        <w:t xml:space="preserve"> debido al bloqueo del presupuesto</w:t>
      </w:r>
      <w:r w:rsidRPr="001F1125">
        <w:rPr>
          <w:rFonts w:ascii="Arial Narrow" w:hAnsi="Arial Narrow" w:cstheme="minorHAnsi"/>
        </w:rPr>
        <w:t xml:space="preserve">. En primer lugar, los relacionados con los servicios de información del clima, pronósticos y alertas, seguidos de los relacionados con estudios de impacto ambiental y de monitoreo de los ecosistemas y finalmente un componente esencial para el IDEAM como es el soporte y desarrollo informático de la Institución.  </w:t>
      </w:r>
    </w:p>
    <w:p w:rsidR="00B005E3" w:rsidRPr="001F1125" w:rsidRDefault="00B005E3" w:rsidP="00B005E3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C72121" w:rsidRDefault="00B005E3" w:rsidP="00C72121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</w:t>
      </w:r>
      <w:r w:rsidR="00C72121" w:rsidRPr="001F1125">
        <w:rPr>
          <w:rFonts w:ascii="Arial Narrow" w:hAnsi="Arial Narrow" w:cstheme="minorHAnsi"/>
        </w:rPr>
        <w:t xml:space="preserve"> espera continuar con</w:t>
      </w:r>
      <w:r w:rsidR="00C72121">
        <w:rPr>
          <w:rFonts w:ascii="Arial Narrow" w:hAnsi="Arial Narrow" w:cstheme="minorHAnsi"/>
        </w:rPr>
        <w:t xml:space="preserve"> una</w:t>
      </w:r>
      <w:r w:rsidR="00C72121" w:rsidRPr="001F1125">
        <w:rPr>
          <w:rFonts w:ascii="Arial Narrow" w:hAnsi="Arial Narrow" w:cstheme="minorHAnsi"/>
        </w:rPr>
        <w:t xml:space="preserve"> dinámica </w:t>
      </w:r>
      <w:r>
        <w:rPr>
          <w:rFonts w:ascii="Arial Narrow" w:hAnsi="Arial Narrow" w:cstheme="minorHAnsi"/>
        </w:rPr>
        <w:t xml:space="preserve">ágil </w:t>
      </w:r>
      <w:r w:rsidR="00C72121" w:rsidRPr="001F1125">
        <w:rPr>
          <w:rFonts w:ascii="Arial Narrow" w:hAnsi="Arial Narrow" w:cstheme="minorHAnsi"/>
        </w:rPr>
        <w:t xml:space="preserve">para comprometer los recursos y </w:t>
      </w:r>
      <w:r w:rsidR="0010021E">
        <w:rPr>
          <w:rFonts w:ascii="Arial Narrow" w:hAnsi="Arial Narrow" w:cstheme="minorHAnsi"/>
        </w:rPr>
        <w:t>completar la</w:t>
      </w:r>
      <w:r w:rsidR="000E11F2">
        <w:rPr>
          <w:rFonts w:ascii="Arial Narrow" w:hAnsi="Arial Narrow" w:cstheme="minorHAnsi"/>
        </w:rPr>
        <w:t xml:space="preserve"> </w:t>
      </w:r>
      <w:r w:rsidR="0010021E">
        <w:rPr>
          <w:rFonts w:ascii="Arial Narrow" w:hAnsi="Arial Narrow" w:cstheme="minorHAnsi"/>
        </w:rPr>
        <w:t>adquisición de</w:t>
      </w:r>
      <w:bookmarkStart w:id="17" w:name="_GoBack"/>
      <w:bookmarkEnd w:id="17"/>
      <w:r w:rsidR="00C72121" w:rsidRPr="001F1125">
        <w:rPr>
          <w:rFonts w:ascii="Arial Narrow" w:hAnsi="Arial Narrow" w:cstheme="minorHAnsi"/>
        </w:rPr>
        <w:t xml:space="preserve"> bienes y servicios en el </w:t>
      </w:r>
      <w:r>
        <w:rPr>
          <w:rFonts w:ascii="Arial Narrow" w:hAnsi="Arial Narrow" w:cstheme="minorHAnsi"/>
        </w:rPr>
        <w:t>tercer</w:t>
      </w:r>
      <w:r w:rsidR="00C72121" w:rsidRPr="001F1125">
        <w:rPr>
          <w:rFonts w:ascii="Arial Narrow" w:hAnsi="Arial Narrow" w:cstheme="minorHAnsi"/>
        </w:rPr>
        <w:t xml:space="preserve"> trimestre</w:t>
      </w:r>
      <w:r>
        <w:rPr>
          <w:rFonts w:ascii="Arial Narrow" w:hAnsi="Arial Narrow" w:cstheme="minorHAnsi"/>
        </w:rPr>
        <w:t xml:space="preserve"> de 2019</w:t>
      </w:r>
      <w:r w:rsidR="00C72121" w:rsidRPr="001F1125">
        <w:rPr>
          <w:rFonts w:ascii="Arial Narrow" w:hAnsi="Arial Narrow" w:cstheme="minorHAnsi"/>
        </w:rPr>
        <w:t>.</w:t>
      </w:r>
    </w:p>
    <w:p w:rsidR="001E0956" w:rsidRPr="001F1125" w:rsidRDefault="001E0956" w:rsidP="00970F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1E0956" w:rsidRPr="001F1125" w:rsidSect="00411D49">
      <w:headerReference w:type="default" r:id="rId9"/>
      <w:footerReference w:type="default" r:id="rId10"/>
      <w:type w:val="continuous"/>
      <w:pgSz w:w="12242" w:h="15842" w:code="1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13" w:rsidRDefault="00A10013">
      <w:r>
        <w:separator/>
      </w:r>
    </w:p>
  </w:endnote>
  <w:endnote w:type="continuationSeparator" w:id="0">
    <w:p w:rsidR="00A10013" w:rsidRDefault="00A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238543"/>
      <w:docPartObj>
        <w:docPartGallery w:val="Page Numbers (Bottom of Page)"/>
        <w:docPartUnique/>
      </w:docPartObj>
    </w:sdtPr>
    <w:sdtContent>
      <w:p w:rsidR="00A10013" w:rsidRDefault="00A100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21E">
          <w:rPr>
            <w:noProof/>
          </w:rPr>
          <w:t>13</w:t>
        </w:r>
        <w:r>
          <w:fldChar w:fldCharType="end"/>
        </w:r>
      </w:p>
    </w:sdtContent>
  </w:sdt>
  <w:p w:rsidR="00A10013" w:rsidRPr="00757D18" w:rsidRDefault="00A10013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13" w:rsidRDefault="00A10013">
      <w:r>
        <w:separator/>
      </w:r>
    </w:p>
  </w:footnote>
  <w:footnote w:type="continuationSeparator" w:id="0">
    <w:p w:rsidR="00A10013" w:rsidRDefault="00A1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3" w:rsidRDefault="00A1001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662EE47" wp14:editId="3C5BDEA7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54B58C"/>
    <w:lvl w:ilvl="0">
      <w:numFmt w:val="bullet"/>
      <w:lvlText w:val="*"/>
      <w:lvlJc w:val="left"/>
    </w:lvl>
  </w:abstractNum>
  <w:abstractNum w:abstractNumId="1" w15:restartNumberingAfterBreak="0">
    <w:nsid w:val="034511BF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264651"/>
    <w:multiLevelType w:val="multilevel"/>
    <w:tmpl w:val="C15A4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64F78BE"/>
    <w:multiLevelType w:val="multilevel"/>
    <w:tmpl w:val="E0DA8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7C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4F22B9"/>
    <w:multiLevelType w:val="multilevel"/>
    <w:tmpl w:val="E9F2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453"/>
    <w:multiLevelType w:val="multilevel"/>
    <w:tmpl w:val="5562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85E76"/>
    <w:multiLevelType w:val="hybridMultilevel"/>
    <w:tmpl w:val="6082D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B1A6E"/>
    <w:multiLevelType w:val="multilevel"/>
    <w:tmpl w:val="4B6CC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18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3658"/>
    <w:rsid w:val="000116D6"/>
    <w:rsid w:val="00013665"/>
    <w:rsid w:val="00014EC8"/>
    <w:rsid w:val="00015318"/>
    <w:rsid w:val="000320F6"/>
    <w:rsid w:val="0003264A"/>
    <w:rsid w:val="00033145"/>
    <w:rsid w:val="0003476E"/>
    <w:rsid w:val="00035446"/>
    <w:rsid w:val="00035D38"/>
    <w:rsid w:val="00035FAE"/>
    <w:rsid w:val="000369E5"/>
    <w:rsid w:val="0003736D"/>
    <w:rsid w:val="000424F8"/>
    <w:rsid w:val="000445B3"/>
    <w:rsid w:val="00044A5F"/>
    <w:rsid w:val="00046933"/>
    <w:rsid w:val="00047598"/>
    <w:rsid w:val="00047FDB"/>
    <w:rsid w:val="00050A35"/>
    <w:rsid w:val="0005446B"/>
    <w:rsid w:val="00054615"/>
    <w:rsid w:val="000615A3"/>
    <w:rsid w:val="000625E3"/>
    <w:rsid w:val="0006312A"/>
    <w:rsid w:val="00063185"/>
    <w:rsid w:val="000645AA"/>
    <w:rsid w:val="00065F66"/>
    <w:rsid w:val="0007059D"/>
    <w:rsid w:val="00070753"/>
    <w:rsid w:val="00072C33"/>
    <w:rsid w:val="000820B3"/>
    <w:rsid w:val="00083B0E"/>
    <w:rsid w:val="00084DBB"/>
    <w:rsid w:val="000923F6"/>
    <w:rsid w:val="00094FC4"/>
    <w:rsid w:val="000966F2"/>
    <w:rsid w:val="000A1567"/>
    <w:rsid w:val="000A39B4"/>
    <w:rsid w:val="000A6F82"/>
    <w:rsid w:val="000A7AD8"/>
    <w:rsid w:val="000B53D2"/>
    <w:rsid w:val="000B5AFB"/>
    <w:rsid w:val="000B6855"/>
    <w:rsid w:val="000C4AF8"/>
    <w:rsid w:val="000C6B24"/>
    <w:rsid w:val="000D3036"/>
    <w:rsid w:val="000D43EB"/>
    <w:rsid w:val="000D5D2F"/>
    <w:rsid w:val="000D6632"/>
    <w:rsid w:val="000E0DDF"/>
    <w:rsid w:val="000E11F2"/>
    <w:rsid w:val="000E2A1F"/>
    <w:rsid w:val="000E57C6"/>
    <w:rsid w:val="0010021E"/>
    <w:rsid w:val="00102FE8"/>
    <w:rsid w:val="001036F5"/>
    <w:rsid w:val="00106A0D"/>
    <w:rsid w:val="00116186"/>
    <w:rsid w:val="00120B3D"/>
    <w:rsid w:val="00121C36"/>
    <w:rsid w:val="0012383A"/>
    <w:rsid w:val="001277E3"/>
    <w:rsid w:val="00127900"/>
    <w:rsid w:val="00130001"/>
    <w:rsid w:val="001311D7"/>
    <w:rsid w:val="001365A1"/>
    <w:rsid w:val="0013762A"/>
    <w:rsid w:val="00141356"/>
    <w:rsid w:val="00141D7C"/>
    <w:rsid w:val="001430CA"/>
    <w:rsid w:val="00154A9C"/>
    <w:rsid w:val="00165323"/>
    <w:rsid w:val="00167352"/>
    <w:rsid w:val="001732B3"/>
    <w:rsid w:val="00174624"/>
    <w:rsid w:val="00181C40"/>
    <w:rsid w:val="00182999"/>
    <w:rsid w:val="00191DBE"/>
    <w:rsid w:val="00193E7E"/>
    <w:rsid w:val="00196371"/>
    <w:rsid w:val="001A4EDE"/>
    <w:rsid w:val="001A5E34"/>
    <w:rsid w:val="001A5E42"/>
    <w:rsid w:val="001B31FA"/>
    <w:rsid w:val="001C4623"/>
    <w:rsid w:val="001C6F01"/>
    <w:rsid w:val="001D0161"/>
    <w:rsid w:val="001D09F1"/>
    <w:rsid w:val="001D21E8"/>
    <w:rsid w:val="001D5ADB"/>
    <w:rsid w:val="001D63F4"/>
    <w:rsid w:val="001D7553"/>
    <w:rsid w:val="001E08CF"/>
    <w:rsid w:val="001E0956"/>
    <w:rsid w:val="001E284B"/>
    <w:rsid w:val="001E434E"/>
    <w:rsid w:val="001E5CCC"/>
    <w:rsid w:val="001F1125"/>
    <w:rsid w:val="001F49AC"/>
    <w:rsid w:val="001F54E5"/>
    <w:rsid w:val="001F7727"/>
    <w:rsid w:val="00200078"/>
    <w:rsid w:val="00203DCA"/>
    <w:rsid w:val="00205BA1"/>
    <w:rsid w:val="00212607"/>
    <w:rsid w:val="00215162"/>
    <w:rsid w:val="00226A97"/>
    <w:rsid w:val="0023168A"/>
    <w:rsid w:val="0023783B"/>
    <w:rsid w:val="0024037F"/>
    <w:rsid w:val="00256387"/>
    <w:rsid w:val="00260DED"/>
    <w:rsid w:val="00263CC2"/>
    <w:rsid w:val="00272F2A"/>
    <w:rsid w:val="00273C8B"/>
    <w:rsid w:val="00276D85"/>
    <w:rsid w:val="00286AF1"/>
    <w:rsid w:val="002904B0"/>
    <w:rsid w:val="00294B8F"/>
    <w:rsid w:val="002957BF"/>
    <w:rsid w:val="00296E84"/>
    <w:rsid w:val="002A1C63"/>
    <w:rsid w:val="002A1D47"/>
    <w:rsid w:val="002A307E"/>
    <w:rsid w:val="002B07E9"/>
    <w:rsid w:val="002B65CF"/>
    <w:rsid w:val="002B6BBE"/>
    <w:rsid w:val="002C0B05"/>
    <w:rsid w:val="002C1472"/>
    <w:rsid w:val="002C14F4"/>
    <w:rsid w:val="002C1DB7"/>
    <w:rsid w:val="002C5C0A"/>
    <w:rsid w:val="002D31B2"/>
    <w:rsid w:val="002D5671"/>
    <w:rsid w:val="002E2BE8"/>
    <w:rsid w:val="002F051A"/>
    <w:rsid w:val="002F5E9C"/>
    <w:rsid w:val="002F6F76"/>
    <w:rsid w:val="002F77CA"/>
    <w:rsid w:val="003149E8"/>
    <w:rsid w:val="00325CFB"/>
    <w:rsid w:val="00325F3D"/>
    <w:rsid w:val="0033306E"/>
    <w:rsid w:val="00333550"/>
    <w:rsid w:val="0033516E"/>
    <w:rsid w:val="003507A5"/>
    <w:rsid w:val="0035119F"/>
    <w:rsid w:val="00351518"/>
    <w:rsid w:val="0035250B"/>
    <w:rsid w:val="003534EE"/>
    <w:rsid w:val="003556E4"/>
    <w:rsid w:val="00357797"/>
    <w:rsid w:val="003757FF"/>
    <w:rsid w:val="00382A24"/>
    <w:rsid w:val="00382ECE"/>
    <w:rsid w:val="00385700"/>
    <w:rsid w:val="003911F0"/>
    <w:rsid w:val="00391DB0"/>
    <w:rsid w:val="00393557"/>
    <w:rsid w:val="00394CAE"/>
    <w:rsid w:val="00395016"/>
    <w:rsid w:val="00396344"/>
    <w:rsid w:val="003A0030"/>
    <w:rsid w:val="003A3F7F"/>
    <w:rsid w:val="003B5D62"/>
    <w:rsid w:val="003B7D4A"/>
    <w:rsid w:val="003D27EE"/>
    <w:rsid w:val="003D3B1D"/>
    <w:rsid w:val="003E5067"/>
    <w:rsid w:val="003F031D"/>
    <w:rsid w:val="003F4DBA"/>
    <w:rsid w:val="003F56C5"/>
    <w:rsid w:val="004002E4"/>
    <w:rsid w:val="0040522B"/>
    <w:rsid w:val="00411D49"/>
    <w:rsid w:val="004122D4"/>
    <w:rsid w:val="00412E48"/>
    <w:rsid w:val="00414E7A"/>
    <w:rsid w:val="00416302"/>
    <w:rsid w:val="00421D07"/>
    <w:rsid w:val="00425712"/>
    <w:rsid w:val="004279D7"/>
    <w:rsid w:val="00432618"/>
    <w:rsid w:val="00432E3F"/>
    <w:rsid w:val="00433811"/>
    <w:rsid w:val="00435A34"/>
    <w:rsid w:val="0043666F"/>
    <w:rsid w:val="0043714E"/>
    <w:rsid w:val="00440AF7"/>
    <w:rsid w:val="0044684D"/>
    <w:rsid w:val="004511FB"/>
    <w:rsid w:val="00460130"/>
    <w:rsid w:val="00464B64"/>
    <w:rsid w:val="004672FB"/>
    <w:rsid w:val="00471BAD"/>
    <w:rsid w:val="004732B1"/>
    <w:rsid w:val="0047372B"/>
    <w:rsid w:val="00474CCC"/>
    <w:rsid w:val="004767A6"/>
    <w:rsid w:val="00480F05"/>
    <w:rsid w:val="0048108B"/>
    <w:rsid w:val="004826C6"/>
    <w:rsid w:val="00485128"/>
    <w:rsid w:val="00486A78"/>
    <w:rsid w:val="0049181D"/>
    <w:rsid w:val="00495B08"/>
    <w:rsid w:val="004A2A3E"/>
    <w:rsid w:val="004A4980"/>
    <w:rsid w:val="004A64ED"/>
    <w:rsid w:val="004B2121"/>
    <w:rsid w:val="004B51E7"/>
    <w:rsid w:val="004B5C13"/>
    <w:rsid w:val="004B78B5"/>
    <w:rsid w:val="004C1599"/>
    <w:rsid w:val="004C28F9"/>
    <w:rsid w:val="004C2ED2"/>
    <w:rsid w:val="004C39C1"/>
    <w:rsid w:val="004C4EE3"/>
    <w:rsid w:val="004C6622"/>
    <w:rsid w:val="004C710D"/>
    <w:rsid w:val="004D2022"/>
    <w:rsid w:val="004D3718"/>
    <w:rsid w:val="004E0668"/>
    <w:rsid w:val="004E158F"/>
    <w:rsid w:val="004E4559"/>
    <w:rsid w:val="004E62BE"/>
    <w:rsid w:val="004F132E"/>
    <w:rsid w:val="005004ED"/>
    <w:rsid w:val="005038BA"/>
    <w:rsid w:val="00504E26"/>
    <w:rsid w:val="0050768E"/>
    <w:rsid w:val="00515EE9"/>
    <w:rsid w:val="005165C5"/>
    <w:rsid w:val="005176F3"/>
    <w:rsid w:val="005220E8"/>
    <w:rsid w:val="005226D6"/>
    <w:rsid w:val="00525D0C"/>
    <w:rsid w:val="0053358A"/>
    <w:rsid w:val="00534A8B"/>
    <w:rsid w:val="00540028"/>
    <w:rsid w:val="005472A5"/>
    <w:rsid w:val="00547C88"/>
    <w:rsid w:val="005541A8"/>
    <w:rsid w:val="00560DDF"/>
    <w:rsid w:val="00562669"/>
    <w:rsid w:val="00563992"/>
    <w:rsid w:val="005649F8"/>
    <w:rsid w:val="005662FC"/>
    <w:rsid w:val="0057198F"/>
    <w:rsid w:val="005729E7"/>
    <w:rsid w:val="00573A9D"/>
    <w:rsid w:val="00574498"/>
    <w:rsid w:val="00582484"/>
    <w:rsid w:val="00583424"/>
    <w:rsid w:val="00590CA0"/>
    <w:rsid w:val="005B02B2"/>
    <w:rsid w:val="005B04B1"/>
    <w:rsid w:val="005B1642"/>
    <w:rsid w:val="005B2190"/>
    <w:rsid w:val="005B502C"/>
    <w:rsid w:val="005B512D"/>
    <w:rsid w:val="005C0AC1"/>
    <w:rsid w:val="005C2A43"/>
    <w:rsid w:val="005C6AA0"/>
    <w:rsid w:val="005D0FE4"/>
    <w:rsid w:val="005D17BA"/>
    <w:rsid w:val="005D4588"/>
    <w:rsid w:val="005D66EE"/>
    <w:rsid w:val="005E1349"/>
    <w:rsid w:val="005E2BA2"/>
    <w:rsid w:val="005E4939"/>
    <w:rsid w:val="005F4590"/>
    <w:rsid w:val="006074FC"/>
    <w:rsid w:val="0060770E"/>
    <w:rsid w:val="00612D3E"/>
    <w:rsid w:val="00616F5D"/>
    <w:rsid w:val="00616F89"/>
    <w:rsid w:val="00617FBE"/>
    <w:rsid w:val="00622435"/>
    <w:rsid w:val="00624DD0"/>
    <w:rsid w:val="0062594D"/>
    <w:rsid w:val="00631BFF"/>
    <w:rsid w:val="00631C75"/>
    <w:rsid w:val="00631CCB"/>
    <w:rsid w:val="006364D2"/>
    <w:rsid w:val="0064257F"/>
    <w:rsid w:val="00644FBC"/>
    <w:rsid w:val="00646B85"/>
    <w:rsid w:val="00647008"/>
    <w:rsid w:val="006515A1"/>
    <w:rsid w:val="006523D2"/>
    <w:rsid w:val="00652468"/>
    <w:rsid w:val="0065275A"/>
    <w:rsid w:val="00654E63"/>
    <w:rsid w:val="006644F6"/>
    <w:rsid w:val="00671461"/>
    <w:rsid w:val="00671E97"/>
    <w:rsid w:val="006724DF"/>
    <w:rsid w:val="006729A6"/>
    <w:rsid w:val="00672C9D"/>
    <w:rsid w:val="00675492"/>
    <w:rsid w:val="006806FA"/>
    <w:rsid w:val="00682113"/>
    <w:rsid w:val="0068311B"/>
    <w:rsid w:val="00686579"/>
    <w:rsid w:val="00695802"/>
    <w:rsid w:val="00695885"/>
    <w:rsid w:val="00696D1C"/>
    <w:rsid w:val="006A1ECA"/>
    <w:rsid w:val="006A22E4"/>
    <w:rsid w:val="006A3E70"/>
    <w:rsid w:val="006B234A"/>
    <w:rsid w:val="006B542A"/>
    <w:rsid w:val="006D1FD9"/>
    <w:rsid w:val="006D4D63"/>
    <w:rsid w:val="006D4EC3"/>
    <w:rsid w:val="006D74EA"/>
    <w:rsid w:val="006E0478"/>
    <w:rsid w:val="006E2881"/>
    <w:rsid w:val="006E31F4"/>
    <w:rsid w:val="006F3029"/>
    <w:rsid w:val="006F47DC"/>
    <w:rsid w:val="007022CB"/>
    <w:rsid w:val="007028A7"/>
    <w:rsid w:val="00710FBD"/>
    <w:rsid w:val="00711547"/>
    <w:rsid w:val="00711740"/>
    <w:rsid w:val="007128A8"/>
    <w:rsid w:val="00712F05"/>
    <w:rsid w:val="00714220"/>
    <w:rsid w:val="00717E5E"/>
    <w:rsid w:val="0072099D"/>
    <w:rsid w:val="00730A9F"/>
    <w:rsid w:val="0073156B"/>
    <w:rsid w:val="007333B4"/>
    <w:rsid w:val="00734F4A"/>
    <w:rsid w:val="0073597F"/>
    <w:rsid w:val="0073651D"/>
    <w:rsid w:val="0073735D"/>
    <w:rsid w:val="00743EFB"/>
    <w:rsid w:val="00744BE5"/>
    <w:rsid w:val="00747791"/>
    <w:rsid w:val="00751CCC"/>
    <w:rsid w:val="0075202C"/>
    <w:rsid w:val="007532C6"/>
    <w:rsid w:val="0075368B"/>
    <w:rsid w:val="007552F6"/>
    <w:rsid w:val="00756E2B"/>
    <w:rsid w:val="00757D18"/>
    <w:rsid w:val="00764896"/>
    <w:rsid w:val="007657ED"/>
    <w:rsid w:val="00767EBE"/>
    <w:rsid w:val="00781BA0"/>
    <w:rsid w:val="007831CA"/>
    <w:rsid w:val="0078394F"/>
    <w:rsid w:val="00786639"/>
    <w:rsid w:val="00791022"/>
    <w:rsid w:val="00794B99"/>
    <w:rsid w:val="00795292"/>
    <w:rsid w:val="007954D0"/>
    <w:rsid w:val="007A0AA8"/>
    <w:rsid w:val="007A1C29"/>
    <w:rsid w:val="007B0145"/>
    <w:rsid w:val="007B163A"/>
    <w:rsid w:val="007B472D"/>
    <w:rsid w:val="007B7FC7"/>
    <w:rsid w:val="007C299C"/>
    <w:rsid w:val="007D3CD6"/>
    <w:rsid w:val="007D6314"/>
    <w:rsid w:val="007D6465"/>
    <w:rsid w:val="007D66DC"/>
    <w:rsid w:val="007E3A80"/>
    <w:rsid w:val="007E5C43"/>
    <w:rsid w:val="007E7857"/>
    <w:rsid w:val="007F3B4E"/>
    <w:rsid w:val="007F3CBF"/>
    <w:rsid w:val="0080065F"/>
    <w:rsid w:val="00802DA1"/>
    <w:rsid w:val="00803D0F"/>
    <w:rsid w:val="00804E17"/>
    <w:rsid w:val="008056E9"/>
    <w:rsid w:val="00806348"/>
    <w:rsid w:val="00806798"/>
    <w:rsid w:val="0080764C"/>
    <w:rsid w:val="00811347"/>
    <w:rsid w:val="008143FE"/>
    <w:rsid w:val="00817C07"/>
    <w:rsid w:val="008271C9"/>
    <w:rsid w:val="0083080F"/>
    <w:rsid w:val="008371F8"/>
    <w:rsid w:val="0084292D"/>
    <w:rsid w:val="00843A92"/>
    <w:rsid w:val="008457F7"/>
    <w:rsid w:val="00850730"/>
    <w:rsid w:val="00851814"/>
    <w:rsid w:val="008537D3"/>
    <w:rsid w:val="00855EA4"/>
    <w:rsid w:val="0085730E"/>
    <w:rsid w:val="00860159"/>
    <w:rsid w:val="00861F60"/>
    <w:rsid w:val="008646F8"/>
    <w:rsid w:val="00864FAF"/>
    <w:rsid w:val="00870DD7"/>
    <w:rsid w:val="00870E0A"/>
    <w:rsid w:val="00874937"/>
    <w:rsid w:val="008761F7"/>
    <w:rsid w:val="0087762E"/>
    <w:rsid w:val="00887656"/>
    <w:rsid w:val="008973E5"/>
    <w:rsid w:val="008A0A8D"/>
    <w:rsid w:val="008A6CFE"/>
    <w:rsid w:val="008B20E9"/>
    <w:rsid w:val="008B5D18"/>
    <w:rsid w:val="008B658B"/>
    <w:rsid w:val="008C146B"/>
    <w:rsid w:val="008C5135"/>
    <w:rsid w:val="008C6A85"/>
    <w:rsid w:val="008C6B06"/>
    <w:rsid w:val="008D1A35"/>
    <w:rsid w:val="008D1FF2"/>
    <w:rsid w:val="008D73FB"/>
    <w:rsid w:val="008E08E3"/>
    <w:rsid w:val="008E0E60"/>
    <w:rsid w:val="008E449D"/>
    <w:rsid w:val="008E469F"/>
    <w:rsid w:val="008F0B6F"/>
    <w:rsid w:val="008F545D"/>
    <w:rsid w:val="0090235A"/>
    <w:rsid w:val="009025D8"/>
    <w:rsid w:val="00903217"/>
    <w:rsid w:val="00915D1F"/>
    <w:rsid w:val="00915F7B"/>
    <w:rsid w:val="00917C1B"/>
    <w:rsid w:val="00921938"/>
    <w:rsid w:val="0093765E"/>
    <w:rsid w:val="009450D7"/>
    <w:rsid w:val="00946A5C"/>
    <w:rsid w:val="009510D5"/>
    <w:rsid w:val="00955D8C"/>
    <w:rsid w:val="00964149"/>
    <w:rsid w:val="00964505"/>
    <w:rsid w:val="00964B15"/>
    <w:rsid w:val="00964C83"/>
    <w:rsid w:val="00964D76"/>
    <w:rsid w:val="00970FA1"/>
    <w:rsid w:val="00970FA5"/>
    <w:rsid w:val="009712E9"/>
    <w:rsid w:val="00982C82"/>
    <w:rsid w:val="009867A8"/>
    <w:rsid w:val="00986DE1"/>
    <w:rsid w:val="00986FDE"/>
    <w:rsid w:val="00994917"/>
    <w:rsid w:val="009974E9"/>
    <w:rsid w:val="009976DF"/>
    <w:rsid w:val="009A2AB2"/>
    <w:rsid w:val="009B0C0E"/>
    <w:rsid w:val="009B2829"/>
    <w:rsid w:val="009C31EF"/>
    <w:rsid w:val="009C4179"/>
    <w:rsid w:val="009C4B2F"/>
    <w:rsid w:val="009C4C9D"/>
    <w:rsid w:val="009D20C7"/>
    <w:rsid w:val="009D2D0C"/>
    <w:rsid w:val="009E4BF5"/>
    <w:rsid w:val="009E5192"/>
    <w:rsid w:val="009F007F"/>
    <w:rsid w:val="009F1AB1"/>
    <w:rsid w:val="009F2846"/>
    <w:rsid w:val="009F7159"/>
    <w:rsid w:val="00A01793"/>
    <w:rsid w:val="00A026F6"/>
    <w:rsid w:val="00A044DD"/>
    <w:rsid w:val="00A06459"/>
    <w:rsid w:val="00A10013"/>
    <w:rsid w:val="00A15D83"/>
    <w:rsid w:val="00A23CD3"/>
    <w:rsid w:val="00A263D5"/>
    <w:rsid w:val="00A30CDE"/>
    <w:rsid w:val="00A31A10"/>
    <w:rsid w:val="00A34323"/>
    <w:rsid w:val="00A345C3"/>
    <w:rsid w:val="00A414C3"/>
    <w:rsid w:val="00A41DFF"/>
    <w:rsid w:val="00A42C2A"/>
    <w:rsid w:val="00A565EA"/>
    <w:rsid w:val="00A56B34"/>
    <w:rsid w:val="00A60F3D"/>
    <w:rsid w:val="00A619A5"/>
    <w:rsid w:val="00A635D9"/>
    <w:rsid w:val="00A712F8"/>
    <w:rsid w:val="00A776C8"/>
    <w:rsid w:val="00A84419"/>
    <w:rsid w:val="00A87EF6"/>
    <w:rsid w:val="00A9079A"/>
    <w:rsid w:val="00A90C01"/>
    <w:rsid w:val="00A913A2"/>
    <w:rsid w:val="00A917F1"/>
    <w:rsid w:val="00A92EC5"/>
    <w:rsid w:val="00AA2592"/>
    <w:rsid w:val="00AA5449"/>
    <w:rsid w:val="00AB07A3"/>
    <w:rsid w:val="00AB2C6A"/>
    <w:rsid w:val="00AB4E89"/>
    <w:rsid w:val="00AC11C9"/>
    <w:rsid w:val="00AC40BD"/>
    <w:rsid w:val="00AC739F"/>
    <w:rsid w:val="00AC76AD"/>
    <w:rsid w:val="00AC7A71"/>
    <w:rsid w:val="00AE0CDF"/>
    <w:rsid w:val="00AE16FC"/>
    <w:rsid w:val="00AE2B12"/>
    <w:rsid w:val="00AE3190"/>
    <w:rsid w:val="00AE33C1"/>
    <w:rsid w:val="00AE3C3D"/>
    <w:rsid w:val="00AE4D60"/>
    <w:rsid w:val="00AF6264"/>
    <w:rsid w:val="00B003AF"/>
    <w:rsid w:val="00B005E3"/>
    <w:rsid w:val="00B011F7"/>
    <w:rsid w:val="00B05337"/>
    <w:rsid w:val="00B05F92"/>
    <w:rsid w:val="00B0638B"/>
    <w:rsid w:val="00B06BF7"/>
    <w:rsid w:val="00B178BB"/>
    <w:rsid w:val="00B26949"/>
    <w:rsid w:val="00B269DB"/>
    <w:rsid w:val="00B31D28"/>
    <w:rsid w:val="00B359FB"/>
    <w:rsid w:val="00B36BB1"/>
    <w:rsid w:val="00B42CAE"/>
    <w:rsid w:val="00B51A45"/>
    <w:rsid w:val="00B53D9B"/>
    <w:rsid w:val="00B554CD"/>
    <w:rsid w:val="00B56FF0"/>
    <w:rsid w:val="00B6276C"/>
    <w:rsid w:val="00B667C5"/>
    <w:rsid w:val="00B74996"/>
    <w:rsid w:val="00B75FB8"/>
    <w:rsid w:val="00B8728A"/>
    <w:rsid w:val="00B87A29"/>
    <w:rsid w:val="00B90C83"/>
    <w:rsid w:val="00B946E7"/>
    <w:rsid w:val="00B9732A"/>
    <w:rsid w:val="00BA21F0"/>
    <w:rsid w:val="00BA3875"/>
    <w:rsid w:val="00BA58E2"/>
    <w:rsid w:val="00BB0C0D"/>
    <w:rsid w:val="00BB0D6E"/>
    <w:rsid w:val="00BB0E30"/>
    <w:rsid w:val="00BB61EB"/>
    <w:rsid w:val="00BC195C"/>
    <w:rsid w:val="00BC558F"/>
    <w:rsid w:val="00BD0A69"/>
    <w:rsid w:val="00BD0D50"/>
    <w:rsid w:val="00BD64E7"/>
    <w:rsid w:val="00BE032B"/>
    <w:rsid w:val="00BE113B"/>
    <w:rsid w:val="00BE1F03"/>
    <w:rsid w:val="00BE3946"/>
    <w:rsid w:val="00BE7C4D"/>
    <w:rsid w:val="00BF0EE2"/>
    <w:rsid w:val="00BF172F"/>
    <w:rsid w:val="00BF4C5E"/>
    <w:rsid w:val="00BF5E5A"/>
    <w:rsid w:val="00BF6E91"/>
    <w:rsid w:val="00BF7546"/>
    <w:rsid w:val="00C02731"/>
    <w:rsid w:val="00C043EA"/>
    <w:rsid w:val="00C06122"/>
    <w:rsid w:val="00C10D81"/>
    <w:rsid w:val="00C1768A"/>
    <w:rsid w:val="00C275B9"/>
    <w:rsid w:val="00C27CBD"/>
    <w:rsid w:val="00C27EDA"/>
    <w:rsid w:val="00C41CA2"/>
    <w:rsid w:val="00C463F2"/>
    <w:rsid w:val="00C46755"/>
    <w:rsid w:val="00C501B0"/>
    <w:rsid w:val="00C546CF"/>
    <w:rsid w:val="00C60E59"/>
    <w:rsid w:val="00C61DC8"/>
    <w:rsid w:val="00C72121"/>
    <w:rsid w:val="00C750B9"/>
    <w:rsid w:val="00C804EF"/>
    <w:rsid w:val="00C83041"/>
    <w:rsid w:val="00C86CD3"/>
    <w:rsid w:val="00C909C2"/>
    <w:rsid w:val="00C91EA0"/>
    <w:rsid w:val="00C941B0"/>
    <w:rsid w:val="00C9614A"/>
    <w:rsid w:val="00C96583"/>
    <w:rsid w:val="00CA34F4"/>
    <w:rsid w:val="00CA5FCD"/>
    <w:rsid w:val="00CB114A"/>
    <w:rsid w:val="00CB2272"/>
    <w:rsid w:val="00CC21E5"/>
    <w:rsid w:val="00CC2817"/>
    <w:rsid w:val="00CD035C"/>
    <w:rsid w:val="00CD0E43"/>
    <w:rsid w:val="00CD275F"/>
    <w:rsid w:val="00CD41B9"/>
    <w:rsid w:val="00CD65AA"/>
    <w:rsid w:val="00CE4F14"/>
    <w:rsid w:val="00CE69AE"/>
    <w:rsid w:val="00CE6BE7"/>
    <w:rsid w:val="00CE7367"/>
    <w:rsid w:val="00CF2591"/>
    <w:rsid w:val="00CF35D6"/>
    <w:rsid w:val="00D052F6"/>
    <w:rsid w:val="00D11773"/>
    <w:rsid w:val="00D123E5"/>
    <w:rsid w:val="00D14235"/>
    <w:rsid w:val="00D2033A"/>
    <w:rsid w:val="00D21758"/>
    <w:rsid w:val="00D24100"/>
    <w:rsid w:val="00D24CDA"/>
    <w:rsid w:val="00D274F7"/>
    <w:rsid w:val="00D27A27"/>
    <w:rsid w:val="00D307BA"/>
    <w:rsid w:val="00D37DB9"/>
    <w:rsid w:val="00D40B2B"/>
    <w:rsid w:val="00D468C9"/>
    <w:rsid w:val="00D474E3"/>
    <w:rsid w:val="00D51BD6"/>
    <w:rsid w:val="00D562F1"/>
    <w:rsid w:val="00D60F17"/>
    <w:rsid w:val="00D64DD7"/>
    <w:rsid w:val="00D66189"/>
    <w:rsid w:val="00D6729B"/>
    <w:rsid w:val="00D72F75"/>
    <w:rsid w:val="00D7409B"/>
    <w:rsid w:val="00D75F0B"/>
    <w:rsid w:val="00D77CC3"/>
    <w:rsid w:val="00D80319"/>
    <w:rsid w:val="00D807D8"/>
    <w:rsid w:val="00D81E7A"/>
    <w:rsid w:val="00D860C8"/>
    <w:rsid w:val="00D86109"/>
    <w:rsid w:val="00D8612F"/>
    <w:rsid w:val="00D86E6C"/>
    <w:rsid w:val="00D87DDF"/>
    <w:rsid w:val="00D93B97"/>
    <w:rsid w:val="00DA0617"/>
    <w:rsid w:val="00DA2250"/>
    <w:rsid w:val="00DA48C8"/>
    <w:rsid w:val="00DA6DE3"/>
    <w:rsid w:val="00DA7B00"/>
    <w:rsid w:val="00DA7C08"/>
    <w:rsid w:val="00DB085A"/>
    <w:rsid w:val="00DC11CE"/>
    <w:rsid w:val="00DC12F7"/>
    <w:rsid w:val="00DC3D5E"/>
    <w:rsid w:val="00DC59C6"/>
    <w:rsid w:val="00DC6CD0"/>
    <w:rsid w:val="00DC7C7A"/>
    <w:rsid w:val="00DD47F0"/>
    <w:rsid w:val="00DD4F39"/>
    <w:rsid w:val="00DD5443"/>
    <w:rsid w:val="00DD6162"/>
    <w:rsid w:val="00DD688F"/>
    <w:rsid w:val="00DE2124"/>
    <w:rsid w:val="00DF1E63"/>
    <w:rsid w:val="00DF4C2C"/>
    <w:rsid w:val="00DF7D45"/>
    <w:rsid w:val="00DF7FEF"/>
    <w:rsid w:val="00E01CC2"/>
    <w:rsid w:val="00E01DA5"/>
    <w:rsid w:val="00E027D3"/>
    <w:rsid w:val="00E052A4"/>
    <w:rsid w:val="00E06C44"/>
    <w:rsid w:val="00E134CF"/>
    <w:rsid w:val="00E1440B"/>
    <w:rsid w:val="00E205FF"/>
    <w:rsid w:val="00E20DEA"/>
    <w:rsid w:val="00E22974"/>
    <w:rsid w:val="00E24006"/>
    <w:rsid w:val="00E27847"/>
    <w:rsid w:val="00E31F0D"/>
    <w:rsid w:val="00E3411F"/>
    <w:rsid w:val="00E3679E"/>
    <w:rsid w:val="00E37217"/>
    <w:rsid w:val="00E37AA1"/>
    <w:rsid w:val="00E421B3"/>
    <w:rsid w:val="00E528CA"/>
    <w:rsid w:val="00E546B0"/>
    <w:rsid w:val="00E636CB"/>
    <w:rsid w:val="00E639C6"/>
    <w:rsid w:val="00E66C98"/>
    <w:rsid w:val="00E66FA4"/>
    <w:rsid w:val="00E67C87"/>
    <w:rsid w:val="00E719BC"/>
    <w:rsid w:val="00E7671A"/>
    <w:rsid w:val="00E81F88"/>
    <w:rsid w:val="00E829B4"/>
    <w:rsid w:val="00E839DD"/>
    <w:rsid w:val="00E83BDE"/>
    <w:rsid w:val="00E8551C"/>
    <w:rsid w:val="00E9107E"/>
    <w:rsid w:val="00E9209A"/>
    <w:rsid w:val="00E92447"/>
    <w:rsid w:val="00E93E31"/>
    <w:rsid w:val="00E94357"/>
    <w:rsid w:val="00E94DD9"/>
    <w:rsid w:val="00E9564D"/>
    <w:rsid w:val="00E979B3"/>
    <w:rsid w:val="00EA19D4"/>
    <w:rsid w:val="00EA228E"/>
    <w:rsid w:val="00EA54AD"/>
    <w:rsid w:val="00EA5562"/>
    <w:rsid w:val="00EA7C4A"/>
    <w:rsid w:val="00EB1789"/>
    <w:rsid w:val="00EB2471"/>
    <w:rsid w:val="00EB6D08"/>
    <w:rsid w:val="00EB7761"/>
    <w:rsid w:val="00ED0FCB"/>
    <w:rsid w:val="00ED22D2"/>
    <w:rsid w:val="00ED4C72"/>
    <w:rsid w:val="00ED6998"/>
    <w:rsid w:val="00EF14A7"/>
    <w:rsid w:val="00EF4692"/>
    <w:rsid w:val="00EF7E10"/>
    <w:rsid w:val="00F001C7"/>
    <w:rsid w:val="00F02E42"/>
    <w:rsid w:val="00F0418A"/>
    <w:rsid w:val="00F046E4"/>
    <w:rsid w:val="00F1163F"/>
    <w:rsid w:val="00F1518C"/>
    <w:rsid w:val="00F175BC"/>
    <w:rsid w:val="00F247A4"/>
    <w:rsid w:val="00F34881"/>
    <w:rsid w:val="00F35C82"/>
    <w:rsid w:val="00F435DD"/>
    <w:rsid w:val="00F44429"/>
    <w:rsid w:val="00F446CA"/>
    <w:rsid w:val="00F4567A"/>
    <w:rsid w:val="00F52D90"/>
    <w:rsid w:val="00F54CE3"/>
    <w:rsid w:val="00F56C13"/>
    <w:rsid w:val="00F6571E"/>
    <w:rsid w:val="00F70AFD"/>
    <w:rsid w:val="00F72450"/>
    <w:rsid w:val="00F75A08"/>
    <w:rsid w:val="00F81BFE"/>
    <w:rsid w:val="00F833E0"/>
    <w:rsid w:val="00F84338"/>
    <w:rsid w:val="00F8682D"/>
    <w:rsid w:val="00F87F51"/>
    <w:rsid w:val="00F90B89"/>
    <w:rsid w:val="00F90C75"/>
    <w:rsid w:val="00F9433A"/>
    <w:rsid w:val="00F95FF9"/>
    <w:rsid w:val="00FA18C5"/>
    <w:rsid w:val="00FA23D2"/>
    <w:rsid w:val="00FA27CA"/>
    <w:rsid w:val="00FA3926"/>
    <w:rsid w:val="00FB3813"/>
    <w:rsid w:val="00FB7697"/>
    <w:rsid w:val="00FC481D"/>
    <w:rsid w:val="00FD0957"/>
    <w:rsid w:val="00FD0B12"/>
    <w:rsid w:val="00FD5042"/>
    <w:rsid w:val="00FD614F"/>
    <w:rsid w:val="00FE5273"/>
    <w:rsid w:val="00FE5F1B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B2242E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F19EC-4F24-48D9-B8CD-D5E36670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2991</Words>
  <Characters>25764</Characters>
  <Application>Microsoft Office Word</Application>
  <DocSecurity>0</DocSecurity>
  <Lines>214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28698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Caroline Saiz Meneses</cp:lastModifiedBy>
  <cp:revision>8</cp:revision>
  <cp:lastPrinted>2018-08-31T18:48:00Z</cp:lastPrinted>
  <dcterms:created xsi:type="dcterms:W3CDTF">2019-08-01T19:51:00Z</dcterms:created>
  <dcterms:modified xsi:type="dcterms:W3CDTF">2019-08-01T20:13:00Z</dcterms:modified>
</cp:coreProperties>
</file>