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755057942"/>
        <w:docPartObj>
          <w:docPartGallery w:val="Cover Pages"/>
          <w:docPartUnique/>
        </w:docPartObj>
      </w:sdtPr>
      <w:sdtEndPr>
        <w:rPr>
          <w:rFonts w:ascii="Arial Narrow" w:eastAsiaTheme="majorEastAsia" w:hAnsi="Arial Narrow" w:cstheme="majorHAnsi"/>
          <w:b/>
          <w:bCs/>
          <w:color w:val="FFFFFF" w:themeColor="background1"/>
          <w:sz w:val="44"/>
          <w:szCs w:val="44"/>
          <w:lang w:val="es-ES" w:bidi="es-ES"/>
        </w:rPr>
      </w:sdtEndPr>
      <w:sdtContent>
        <w:p w14:paraId="58762BE4" w14:textId="446ECB71" w:rsidR="001D3FE9" w:rsidRDefault="001D3FE9"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19BD99" wp14:editId="138B749F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BA20E8" w14:textId="65BAED1B" w:rsidR="001D3FE9" w:rsidRDefault="001D3FE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72"/>
                                  </w:rPr>
                                </w:pPr>
                                <w:r w:rsidRPr="001D3FE9">
                                  <w:rPr>
                                    <w:rFonts w:ascii="Arial Narrow" w:hAnsi="Arial Narrow"/>
                                    <w:b/>
                                    <w:sz w:val="72"/>
                                  </w:rPr>
                                  <w:t>PLAN DE TRABAJO ANUAL EN SEGURIDAD Y SALUD EN EL TRABAJO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72"/>
                                  </w:rPr>
                                  <w:t xml:space="preserve"> 2020</w:t>
                                </w:r>
                              </w:p>
                              <w:p w14:paraId="189F5459" w14:textId="77777777" w:rsidR="001D3FE9" w:rsidRDefault="001D3FE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rFonts w:ascii="Arial Narrow" w:hAnsi="Arial Narrow"/>
                                    <w:b/>
                                    <w:sz w:val="72"/>
                                  </w:rPr>
                                </w:pPr>
                              </w:p>
                              <w:p w14:paraId="33739AC5" w14:textId="77777777" w:rsidR="001D3FE9" w:rsidRPr="001D3FE9" w:rsidRDefault="001D3FE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eastAsiaTheme="minorEastAsia" w:hAnsi="Times New Roman" w:cs="Times New Roman"/>
                                    <w:color w:val="FFFFFF" w:themeColor="background1"/>
                                    <w:sz w:val="24"/>
                                    <w:szCs w:val="24"/>
                                    <w:lang w:eastAsia="es-CO"/>
                                  </w:rPr>
                                  <w:alias w:val="Descripción breve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58D0FBE" w14:textId="3A6805CE" w:rsidR="001D3FE9" w:rsidRDefault="001D3FE9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1D3FE9">
                                      <w:rPr>
                                        <w:rFonts w:ascii="Times New Roman" w:eastAsiaTheme="minorEastAsia" w:hAnsi="Times New Roman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lang w:eastAsia="es-CO"/>
                                      </w:rPr>
                                      <w:t>SECRETARÍA GENERAL, GRUPO DE ADMINISTRACIÓN Y DESARROLLO DEL TALENTO HUMANO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119BD99" id="Rectá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" fillcolor="#4472c4 [3204]" stroked="f" strokeweight="1pt">
                    <v:path arrowok="t"/>
                    <v:textbox inset="21.6pt,1in,21.6pt">
                      <w:txbxContent>
                        <w:p w14:paraId="0EBA20E8" w14:textId="65BAED1B" w:rsidR="001D3FE9" w:rsidRDefault="001D3FE9">
                          <w:pPr>
                            <w:spacing w:before="240"/>
                            <w:ind w:left="720"/>
                            <w:jc w:val="right"/>
                            <w:rPr>
                              <w:rFonts w:ascii="Arial Narrow" w:hAnsi="Arial Narrow"/>
                              <w:b/>
                              <w:sz w:val="72"/>
                            </w:rPr>
                          </w:pPr>
                          <w:r w:rsidRPr="001D3FE9">
                            <w:rPr>
                              <w:rFonts w:ascii="Arial Narrow" w:hAnsi="Arial Narrow"/>
                              <w:b/>
                              <w:sz w:val="72"/>
                            </w:rPr>
                            <w:t>PLAN DE TRABAJO ANUAL EN SEGURIDAD Y SALUD EN EL TRABAJO</w:t>
                          </w:r>
                          <w:r>
                            <w:rPr>
                              <w:rFonts w:ascii="Arial Narrow" w:hAnsi="Arial Narrow"/>
                              <w:b/>
                              <w:sz w:val="72"/>
                            </w:rPr>
                            <w:t xml:space="preserve"> 2020</w:t>
                          </w:r>
                        </w:p>
                        <w:p w14:paraId="189F5459" w14:textId="77777777" w:rsidR="001D3FE9" w:rsidRDefault="001D3FE9">
                          <w:pPr>
                            <w:spacing w:before="240"/>
                            <w:ind w:left="720"/>
                            <w:jc w:val="right"/>
                            <w:rPr>
                              <w:rFonts w:ascii="Arial Narrow" w:hAnsi="Arial Narrow"/>
                              <w:b/>
                              <w:sz w:val="72"/>
                            </w:rPr>
                          </w:pPr>
                        </w:p>
                        <w:p w14:paraId="33739AC5" w14:textId="77777777" w:rsidR="001D3FE9" w:rsidRPr="001D3FE9" w:rsidRDefault="001D3FE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72"/>
                            </w:rPr>
                          </w:pPr>
                        </w:p>
                        <w:sdt>
                          <w:sdtPr>
                            <w:rPr>
                              <w:rFonts w:ascii="Times New Roman" w:eastAsiaTheme="minorEastAsia" w:hAnsi="Times New Roman" w:cs="Times New Roman"/>
                              <w:color w:val="FFFFFF" w:themeColor="background1"/>
                              <w:sz w:val="24"/>
                              <w:szCs w:val="24"/>
                              <w:lang w:eastAsia="es-CO"/>
                            </w:rPr>
                            <w:alias w:val="Descripción breve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158D0FBE" w14:textId="3A6805CE" w:rsidR="001D3FE9" w:rsidRDefault="001D3FE9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1D3FE9">
                                <w:rPr>
                                  <w:rFonts w:ascii="Times New Roman" w:eastAsiaTheme="minorEastAsia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eastAsia="es-CO"/>
                                </w:rPr>
                                <w:t>SECRETARÍA GENERAL, GRUPO DE ADMINISTRACIÓN Y DESARROLLO DEL TALENTO HUMANO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05A9A9" wp14:editId="3C4AB78C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A1ACFC" w14:textId="6767203A" w:rsidR="001D3FE9" w:rsidRDefault="004A07F0">
                                <w:pPr>
                                  <w:pStyle w:val="Subttulo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ubtítulo"/>
                                    <w:id w:val="1090039369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D3FE9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D3FE9"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7A4C4FEC" wp14:editId="5CA2FE6E">
                                      <wp:extent cx="1485265" cy="1289050"/>
                                      <wp:effectExtent l="0" t="0" r="0" b="6350"/>
                                      <wp:docPr id="3" name="Imagen 3" descr="C:\Users\AAlarcon\Adriana Alarcón - IDEAM\logo ideam png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 descr="C:\Users\AAlarcon\Adriana Alarcón - IDEAM\logo ideam png.png"/>
                                              <pic:cNvPicPr/>
                                            </pic:nvPicPr>
                                            <pic:blipFill rotWithShape="1">
                                              <a:blip r:embed="rId9" cstate="print"/>
                                              <a:srcRect b="2897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265" cy="128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805A9A9" id="Rectá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" fillcolor="#44546a [3215]" stroked="f" strokeweight="1pt">
                    <v:path arrowok="t"/>
                    <v:textbox inset="14.4pt,,14.4pt">
                      <w:txbxContent>
                        <w:p w14:paraId="5FA1ACFC" w14:textId="6767203A" w:rsidR="001D3FE9" w:rsidRDefault="004A07F0">
                          <w:pPr>
                            <w:pStyle w:val="Subttulo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ubtítulo"/>
                              <w:id w:val="1090039369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D3FE9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1D3FE9"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A4C4FEC" wp14:editId="5CA2FE6E">
                                <wp:extent cx="1485265" cy="1289050"/>
                                <wp:effectExtent l="0" t="0" r="0" b="6350"/>
                                <wp:docPr id="3" name="Imagen 3" descr="C:\Users\AAlarcon\Adriana Alarcón - IDEAM\logo ideam pn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:\Users\AAlarcon\Adriana Alarcón - IDEAM\logo ideam png.png"/>
                                        <pic:cNvPicPr/>
                                      </pic:nvPicPr>
                                      <pic:blipFill rotWithShape="1">
                                        <a:blip r:embed="rId9" cstate="print"/>
                                        <a:srcRect b="2897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265" cy="1289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87EBCB1" w14:textId="77777777" w:rsidR="001D3FE9" w:rsidRDefault="001D3FE9"/>
        <w:p w14:paraId="3ED4E14A" w14:textId="07C8FBC1" w:rsidR="001D3FE9" w:rsidRDefault="001D3FE9">
          <w:pPr>
            <w:rPr>
              <w:rFonts w:ascii="Arial Narrow" w:eastAsiaTheme="majorEastAsia" w:hAnsi="Arial Narrow" w:cstheme="majorHAnsi"/>
              <w:b/>
              <w:bCs/>
              <w:color w:val="FFFFFF" w:themeColor="background1"/>
              <w:sz w:val="44"/>
              <w:szCs w:val="44"/>
              <w:lang w:val="es-ES" w:bidi="es-ES"/>
            </w:rPr>
          </w:pPr>
          <w:r>
            <w:rPr>
              <w:rFonts w:ascii="Arial Narrow" w:eastAsiaTheme="majorEastAsia" w:hAnsi="Arial Narrow" w:cstheme="majorHAnsi"/>
              <w:b/>
              <w:bCs/>
              <w:color w:val="FFFFFF" w:themeColor="background1"/>
              <w:sz w:val="44"/>
              <w:szCs w:val="44"/>
              <w:lang w:val="es-ES" w:bidi="es-ES"/>
            </w:rPr>
            <w:br w:type="page"/>
          </w:r>
        </w:p>
      </w:sdtContent>
    </w:sdt>
    <w:p w14:paraId="7230008A" w14:textId="77777777" w:rsidR="003520CD" w:rsidRPr="00205408" w:rsidRDefault="003520CD" w:rsidP="000D33C8">
      <w:pPr>
        <w:jc w:val="center"/>
        <w:rPr>
          <w:rFonts w:ascii="Arial Narrow" w:eastAsia="Arial" w:hAnsi="Arial Narrow" w:cs="Arial"/>
          <w:b/>
          <w:sz w:val="24"/>
          <w:szCs w:val="24"/>
        </w:rPr>
      </w:pPr>
    </w:p>
    <w:p w14:paraId="2DBF5515" w14:textId="0862B72A" w:rsidR="007D5530" w:rsidRPr="00205408" w:rsidRDefault="007D5530" w:rsidP="000D33C8">
      <w:pPr>
        <w:jc w:val="center"/>
        <w:rPr>
          <w:rFonts w:ascii="Arial Narrow" w:hAnsi="Arial Narrow"/>
          <w:sz w:val="24"/>
          <w:szCs w:val="24"/>
          <w:lang w:val="es-ES" w:eastAsia="es-CO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PRESENTACIÓN</w:t>
      </w:r>
    </w:p>
    <w:p w14:paraId="202FC3C6" w14:textId="77777777" w:rsidR="007D5530" w:rsidRPr="00205408" w:rsidRDefault="007D5530" w:rsidP="007D5530">
      <w:pPr>
        <w:spacing w:after="0" w:line="240" w:lineRule="auto"/>
        <w:jc w:val="center"/>
        <w:rPr>
          <w:rFonts w:ascii="Arial Narrow" w:eastAsia="Arial" w:hAnsi="Arial Narrow" w:cs="Arial"/>
          <w:b/>
          <w:sz w:val="24"/>
          <w:szCs w:val="24"/>
        </w:rPr>
      </w:pPr>
    </w:p>
    <w:p w14:paraId="63763ECC" w14:textId="77777777" w:rsidR="005E3419" w:rsidRPr="00205408" w:rsidRDefault="005E3419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4A53F6F8" w14:textId="112BFF1F" w:rsidR="005E3419" w:rsidRPr="00205408" w:rsidRDefault="005E3419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 xml:space="preserve">El Sistema de Gestión de la Seguridad y Salud en el Trabajo (SG-SST) consiste en el desarrollo de un proceso lógico y por etapas, basado en la mejora continua que incluye; la política, la organización, la planificación, la aplicación, la evaluación, la auditoría y las acciones de mejora con el objetivo de anticipar, reconocer, evaluar y controlar los riesgos que puedan afectar la seguridad y la salud en el trabajo; de igual manera y el propósito del SG-SST, es la estructuración de la acción conjunta entre el empleador y los trabajadores, en la aplicación de las medidas de Seguridad y Salud en el Trabajo (SST) a través del mejoramiento continuo de las condiciones y el medio ambiente laboral, y el control eficaz de los peligros y riesgos para la ejecución de las diversas actividades contratadas en el área de trabajo. </w:t>
      </w:r>
      <w:r w:rsidR="003520CD" w:rsidRPr="00205408">
        <w:rPr>
          <w:rFonts w:ascii="Arial Narrow" w:eastAsia="Arial" w:hAnsi="Arial Narrow" w:cs="Arial"/>
          <w:sz w:val="24"/>
          <w:szCs w:val="24"/>
        </w:rPr>
        <w:t>Una de las herramientas para el desarrollo del sistema es e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l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Manual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del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Sistema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de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Gestión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de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Seguridad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y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Salud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en el 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Trabajo que </w:t>
      </w:r>
      <w:r w:rsidRPr="00205408">
        <w:rPr>
          <w:rFonts w:ascii="Arial Narrow" w:eastAsia="Arial" w:hAnsi="Arial Narrow" w:cs="Arial"/>
          <w:sz w:val="24"/>
          <w:szCs w:val="24"/>
        </w:rPr>
        <w:t>tiene como propósito mejorar las condiciones de salud y seguridad en todos los trabajadores independiente de su vinculación laboral, este manual es un modelo que adelanta acciones para la evaluación permanente y el mejoramiento continuo, de modo que se logren reducir o evitar los accidentes y las enfermedades laborales.</w:t>
      </w:r>
    </w:p>
    <w:p w14:paraId="1236604A" w14:textId="77777777" w:rsidR="005E3419" w:rsidRPr="00205408" w:rsidRDefault="005E3419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4B18A257" w14:textId="77777777" w:rsidR="004A50A2" w:rsidRPr="00205408" w:rsidRDefault="007D5530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>El Plan de Trabajo de Seguridad y Salud en el Trabajo (SST) para el Instituto de Hidrología, Meteorología y Estudios Ambientales (IDEAM)</w:t>
      </w:r>
      <w:r w:rsidR="00845931" w:rsidRPr="00205408">
        <w:rPr>
          <w:rFonts w:ascii="Arial Narrow" w:eastAsia="Arial" w:hAnsi="Arial Narrow" w:cs="Arial"/>
          <w:sz w:val="24"/>
          <w:szCs w:val="24"/>
        </w:rPr>
        <w:t>, tiene como propósito</w:t>
      </w:r>
      <w:r w:rsidR="004A50A2" w:rsidRPr="00205408">
        <w:rPr>
          <w:rFonts w:ascii="Arial Narrow" w:eastAsia="Arial" w:hAnsi="Arial Narrow" w:cs="Arial"/>
          <w:sz w:val="24"/>
          <w:szCs w:val="24"/>
        </w:rPr>
        <w:t xml:space="preserve"> </w:t>
      </w:r>
      <w:r w:rsidR="000B3BD1" w:rsidRPr="00205408">
        <w:rPr>
          <w:rFonts w:ascii="Arial Narrow" w:eastAsia="Arial" w:hAnsi="Arial Narrow" w:cs="Arial"/>
          <w:sz w:val="24"/>
          <w:szCs w:val="24"/>
        </w:rPr>
        <w:t xml:space="preserve">establecer y programar actividades de promoción y prevención  con el fin de prevenir </w:t>
      </w:r>
      <w:r w:rsidR="004A50A2" w:rsidRPr="00205408">
        <w:rPr>
          <w:rFonts w:ascii="Arial Narrow" w:eastAsia="Arial" w:hAnsi="Arial Narrow" w:cs="Arial"/>
          <w:sz w:val="24"/>
          <w:szCs w:val="24"/>
        </w:rPr>
        <w:t xml:space="preserve">  las lesiones y enfermedades causadas </w:t>
      </w:r>
      <w:r w:rsidR="000B3BD1" w:rsidRPr="00205408">
        <w:rPr>
          <w:rFonts w:ascii="Arial Narrow" w:eastAsia="Arial" w:hAnsi="Arial Narrow" w:cs="Arial"/>
          <w:sz w:val="24"/>
          <w:szCs w:val="24"/>
        </w:rPr>
        <w:t>por las condiciones de trabajo, mejorar las condiciones y el medio ambiente de trabajo, así como la salud en el trabajo que conlleva la promoción y el mantenimiento del bienestar físico, mental y social de los trabajadores en todas las ocupaciones.</w:t>
      </w:r>
    </w:p>
    <w:p w14:paraId="0B18CAEF" w14:textId="77777777" w:rsidR="008B1B92" w:rsidRPr="00205408" w:rsidRDefault="008B1B92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512DF8CE" w14:textId="77777777" w:rsidR="00AB6F7D" w:rsidRPr="00205408" w:rsidRDefault="00AB6F7D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>Así mismo,</w:t>
      </w:r>
      <w:r w:rsidR="001842FC" w:rsidRPr="00205408">
        <w:rPr>
          <w:rFonts w:ascii="Arial Narrow" w:eastAsia="Arial" w:hAnsi="Arial Narrow" w:cs="Arial"/>
          <w:sz w:val="24"/>
          <w:szCs w:val="24"/>
        </w:rPr>
        <w:t xml:space="preserve"> cumplir con los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</w:t>
      </w:r>
      <w:r w:rsidR="001842FC" w:rsidRPr="00205408">
        <w:rPr>
          <w:rFonts w:ascii="Arial Narrow" w:eastAsia="Arial" w:hAnsi="Arial Narrow" w:cs="Arial"/>
          <w:sz w:val="24"/>
          <w:szCs w:val="24"/>
        </w:rPr>
        <w:t xml:space="preserve">requisitos establecidos en la Resolución 312 del 13 de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</w:t>
      </w:r>
      <w:r w:rsidR="001842FC" w:rsidRPr="00205408">
        <w:rPr>
          <w:rFonts w:ascii="Arial Narrow" w:eastAsia="Arial" w:hAnsi="Arial Narrow" w:cs="Arial"/>
          <w:sz w:val="24"/>
          <w:szCs w:val="24"/>
        </w:rPr>
        <w:t>febrero de 2019, por la cual se definen los estándares mínimos del Sistema de Gestión de la Seguridad y Salud en el Trabajo  (SG-SST), siendo esta Resolución el conjunto de normas, requisitos y procedimientos de obligatorio cumplimiento para el IDEAM, mediante los cuales se establecen, verifican y controlan las condiciones básicas de capacidad técnico -administrativa y de suficiencia patrimonial y financiera indispensables para el funcionamiento, ejercicio y desarrollo  de las actividades en el Sistema de Gestión de la Seguridad y Salud en el Trabajo  (SG-SST).</w:t>
      </w:r>
    </w:p>
    <w:p w14:paraId="6BAEE9B3" w14:textId="77777777" w:rsidR="001842FC" w:rsidRPr="00205408" w:rsidRDefault="001842FC" w:rsidP="004A50A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0486353" w14:textId="1C052612" w:rsidR="005E3419" w:rsidRPr="00205408" w:rsidRDefault="005E3419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>Para el efecto, el IDEAM abordara la prevención de los accidentes y las enfermedades laborales y también la protección y promoción de la salud de los funcionarios y/o contratistas, a través de la implementación, mantenimiento y mejora continua de un sistema de gestión cuyos principios estén basados en el ciclo PHVA (Planificar, Hacer, Verificar y Actuar) enfocándose  en los riegos críticos identificados y estableciendo  estrategias que permitan proteger la seguridad y salud de los funcionarios y contratistas.</w:t>
      </w:r>
    </w:p>
    <w:p w14:paraId="0C9252AA" w14:textId="77777777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1CA60C37" w14:textId="1671C191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Planificar</w:t>
      </w:r>
      <w:r w:rsidRPr="00205408">
        <w:rPr>
          <w:rFonts w:ascii="Arial Narrow" w:eastAsia="Arial" w:hAnsi="Arial Narrow" w:cs="Arial"/>
          <w:sz w:val="24"/>
          <w:szCs w:val="24"/>
        </w:rPr>
        <w:t>: La forma de mejorar la seguridad y salud de los funcionarios y contratistas encontrando qué cosas se están haciendo incorrectamente o se pueden mejorar y determinando ideas para solucionar esas situaciones.</w:t>
      </w:r>
    </w:p>
    <w:p w14:paraId="49AB2F5D" w14:textId="77777777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Hacer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: Implementación de las medidas planificadas. </w:t>
      </w:r>
    </w:p>
    <w:p w14:paraId="35F38D44" w14:textId="77777777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Verificar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: Revisar que los procedimientos y acciones implementados están consiguiendo los resultados deseados. </w:t>
      </w:r>
    </w:p>
    <w:p w14:paraId="6417452F" w14:textId="5B7F3CA6" w:rsidR="005E3419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Actuar</w:t>
      </w:r>
      <w:r w:rsidRPr="00205408">
        <w:rPr>
          <w:rFonts w:ascii="Arial Narrow" w:eastAsia="Arial" w:hAnsi="Arial Narrow" w:cs="Arial"/>
          <w:sz w:val="24"/>
          <w:szCs w:val="24"/>
        </w:rPr>
        <w:t>: Realizar acciones de mejora para obtener los mayores beneficios en la seguridad y salud de los trabajadores.</w:t>
      </w:r>
    </w:p>
    <w:p w14:paraId="3B468911" w14:textId="77777777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1D486F6" w14:textId="09EDC4F8" w:rsidR="00CD5267" w:rsidRPr="00205408" w:rsidRDefault="00CD526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 xml:space="preserve">El cumplimento de las actividades planteadas en el Plan de Trabajo se </w:t>
      </w:r>
      <w:r w:rsidR="00112FF7" w:rsidRPr="00205408">
        <w:rPr>
          <w:rFonts w:ascii="Arial Narrow" w:eastAsia="Arial" w:hAnsi="Arial Narrow" w:cs="Arial"/>
          <w:sz w:val="24"/>
          <w:szCs w:val="24"/>
        </w:rPr>
        <w:t>ejecutarán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con recurso propio y con apoyo de l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a ARL, las EPS, los Fondos de pensiones y otros aliados estratégicos, que permitan </w:t>
      </w:r>
      <w:r w:rsidRPr="00205408">
        <w:rPr>
          <w:rFonts w:ascii="Arial Narrow" w:eastAsia="Arial" w:hAnsi="Arial Narrow" w:cs="Arial"/>
          <w:sz w:val="24"/>
          <w:szCs w:val="24"/>
        </w:rPr>
        <w:t>involucra</w:t>
      </w:r>
      <w:r w:rsidR="003520CD" w:rsidRPr="00205408">
        <w:rPr>
          <w:rFonts w:ascii="Arial Narrow" w:eastAsia="Arial" w:hAnsi="Arial Narrow" w:cs="Arial"/>
          <w:sz w:val="24"/>
          <w:szCs w:val="24"/>
        </w:rPr>
        <w:t xml:space="preserve">r  </w:t>
      </w:r>
      <w:r w:rsidRPr="00205408">
        <w:rPr>
          <w:rFonts w:ascii="Arial Narrow" w:eastAsia="Arial" w:hAnsi="Arial Narrow" w:cs="Arial"/>
          <w:sz w:val="24"/>
          <w:szCs w:val="24"/>
        </w:rPr>
        <w:t>a funcionarios y contratistas en la ejecución de las mismas.</w:t>
      </w:r>
    </w:p>
    <w:p w14:paraId="38B0D180" w14:textId="7261FF01" w:rsidR="00112FF7" w:rsidRPr="00205408" w:rsidRDefault="00112FF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480AB98" w14:textId="4743C527" w:rsidR="00112FF7" w:rsidRDefault="00112FF7" w:rsidP="005E3419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56EC66BE" w14:textId="77777777" w:rsidR="00112FF7" w:rsidRPr="00205408" w:rsidRDefault="00112FF7" w:rsidP="00112FF7">
      <w:pP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OBJETIVO</w:t>
      </w:r>
    </w:p>
    <w:p w14:paraId="462E78FD" w14:textId="77777777" w:rsidR="00112FF7" w:rsidRPr="00205408" w:rsidRDefault="00112FF7" w:rsidP="00112FF7">
      <w:pPr>
        <w:pStyle w:val="Prrafodelista"/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FE4664F" w14:textId="3920A773" w:rsidR="00112FF7" w:rsidRPr="00205408" w:rsidRDefault="00112FF7" w:rsidP="00112FF7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>Describir las actividades que permitan al IDEAM enfocarse en los riegos críticos identificados y establecer estrategias que permitan proteger la seguridad y salud de los funcionarios y contratistas, cumpliendo con la normativa nacional vigente aplicable en materia</w:t>
      </w:r>
      <w:r w:rsidR="004D26B2" w:rsidRPr="00205408">
        <w:rPr>
          <w:rFonts w:ascii="Arial Narrow" w:eastAsia="Arial" w:hAnsi="Arial Narrow" w:cs="Arial"/>
          <w:sz w:val="24"/>
          <w:szCs w:val="24"/>
        </w:rPr>
        <w:t xml:space="preserve"> de riesgos laborales definidos en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el Plan Anual de Seguridad y Salud en el Trabajo.</w:t>
      </w:r>
    </w:p>
    <w:p w14:paraId="1F7C2E91" w14:textId="77777777" w:rsidR="00112FF7" w:rsidRPr="00205408" w:rsidRDefault="00112FF7" w:rsidP="00112FF7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89548A1" w14:textId="77777777" w:rsidR="00001E73" w:rsidRPr="00205408" w:rsidRDefault="00001E73" w:rsidP="00001E73">
      <w:pP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38E41AA2" w14:textId="391BBFAE" w:rsidR="00332FDD" w:rsidRPr="00205408" w:rsidRDefault="00332FDD" w:rsidP="00001E73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DEFINICIONES</w:t>
      </w:r>
    </w:p>
    <w:p w14:paraId="21DE88A7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712D334D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Accidente de trabajo: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Es accidente de trabajo todo suceso repentino que sobrevenga por causa o con ocasión del trabajo, y que produzca en el trabajador una lesión orgánica, una perturbación funcional o psiquiátrica, una invalidez o la muerte. Es también accidente de trabajo aquel que se produce durante la ejecución de órdenes del empleador, o contratante durante la ejecución de una labor bajo su autoridad, aún fuera del lugar y horas de trabajo.</w:t>
      </w:r>
    </w:p>
    <w:p w14:paraId="6E15F97F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Acto Inseguro: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Todo acto que realiza un trabajador de manera insegura o inapropiada y que facilita la ocurrencia de un accidente de trabajo. (NTC3701)</w:t>
      </w:r>
    </w:p>
    <w:p w14:paraId="5C1165F6" w14:textId="1ECFAE2A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Ausentismo: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Se denomina al número de horas programadas, que se </w:t>
      </w:r>
      <w:r w:rsidR="000776AF" w:rsidRPr="00205408">
        <w:rPr>
          <w:rFonts w:ascii="Arial Narrow" w:eastAsia="Arial" w:hAnsi="Arial Narrow" w:cs="Arial"/>
          <w:sz w:val="24"/>
          <w:szCs w:val="24"/>
        </w:rPr>
        <w:t>dejan como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consecuencia de los accidentes de trabajo o las enfermedades laborales.</w:t>
      </w:r>
    </w:p>
    <w:p w14:paraId="22816CB4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 xml:space="preserve">Comité paritario: </w:t>
      </w:r>
      <w:r w:rsidRPr="00205408">
        <w:rPr>
          <w:rFonts w:ascii="Arial Narrow" w:eastAsia="Arial" w:hAnsi="Arial Narrow" w:cs="Arial"/>
          <w:sz w:val="24"/>
          <w:szCs w:val="24"/>
        </w:rPr>
        <w:t>Organismo de promoción y vigilancia de las normas y reglamentos de Seguridad y Salud en el Trabajo dentro de la empresa.</w:t>
      </w:r>
    </w:p>
    <w:p w14:paraId="5A34032A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 xml:space="preserve">Condiciones de Salud: </w:t>
      </w:r>
      <w:r w:rsidRPr="00205408">
        <w:rPr>
          <w:rFonts w:ascii="Arial Narrow" w:eastAsia="Arial" w:hAnsi="Arial Narrow" w:cs="Arial"/>
          <w:sz w:val="24"/>
          <w:szCs w:val="24"/>
        </w:rPr>
        <w:t>Son los factores de riesgo del ambiente social y del laboral, de las condiciones sociales y económicas derivadas de la forma de vinculación al proceso productivo que influyen en la salud del trabajador.</w:t>
      </w:r>
    </w:p>
    <w:p w14:paraId="186A50EE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lastRenderedPageBreak/>
        <w:t>Condiciones de trabajo: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Es el conjunto de características de la tarea, del entorno y de la organización del trabajo, las cuales interactúan produciendo alteraciones positivas o negativas y que, directa o indirectamente, influyen en la salud y la vida del trabajador.</w:t>
      </w:r>
    </w:p>
    <w:p w14:paraId="41AF78CD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Cronograma: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Registro de las actividades del plan de acción del programa, en el cual se consignan las tareas, los responsables y las fechas de realización.</w:t>
      </w:r>
    </w:p>
    <w:p w14:paraId="03BA2F1C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Enfermedad Laboral: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Se considera enfermedad Laboral todo estado patológico permanente o temporal que sobrevenga como consecuencia obligada y directa de la clase de trabajo que desempeña el trabajador, o del medio en que se ha visto obligado a trabajar, y que haya sido determinada como enfermedad laboral por el gobierno nacional.</w:t>
      </w:r>
    </w:p>
    <w:p w14:paraId="18AE0876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Exámenes Laborales: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Valoración del estado de salud a través de exámenes físicos, pruebas funcionales y complementarias, de acuerdo con la exposición a riesgos específicos, que se realizan al trabajador para investigar la aparición de lesiones patológicas incipientes de origen laboral o no.</w:t>
      </w:r>
    </w:p>
    <w:p w14:paraId="67874EB0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Factores de Riesgo</w:t>
      </w:r>
      <w:r w:rsidRPr="00205408">
        <w:rPr>
          <w:rFonts w:ascii="Arial Narrow" w:eastAsia="Arial" w:hAnsi="Arial Narrow" w:cs="Arial"/>
          <w:sz w:val="24"/>
          <w:szCs w:val="24"/>
        </w:rPr>
        <w:t>: Aquellas condiciones del ambiente, la tarea, los instrumentos, los materiales, la organización y el contenido del trabajo que encierran un daño potencial en la salud física o mental, o sobre la seguridad de las personas.</w:t>
      </w:r>
    </w:p>
    <w:p w14:paraId="4CE29C24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 xml:space="preserve">Grado de peligrosidad: </w:t>
      </w:r>
      <w:r w:rsidRPr="00205408">
        <w:rPr>
          <w:rFonts w:ascii="Arial Narrow" w:eastAsia="Arial" w:hAnsi="Arial Narrow" w:cs="Arial"/>
          <w:sz w:val="24"/>
          <w:szCs w:val="24"/>
        </w:rPr>
        <w:t>Relación matemática obtenida del producto entre la probabilidad de ocurrencia, la intensidad de la exposición, las consecuencias más probables derivadas de una condición de riesgo específica.</w:t>
      </w:r>
    </w:p>
    <w:p w14:paraId="2C8CE1A1" w14:textId="77777777" w:rsidR="00A535E4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Grado de riesgo: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Relación matemática entre la concentración o la intensidad y el tiempo que un trabajador se encuentra expuesto a un factor de riesgo, con la concentración o la intensidad y t</w:t>
      </w:r>
      <w:r w:rsidR="00A535E4" w:rsidRPr="00205408">
        <w:rPr>
          <w:rFonts w:ascii="Arial Narrow" w:eastAsia="Arial" w:hAnsi="Arial Narrow" w:cs="Arial"/>
          <w:sz w:val="24"/>
          <w:szCs w:val="24"/>
        </w:rPr>
        <w:t>iempo de exposición permitidos.</w:t>
      </w:r>
    </w:p>
    <w:p w14:paraId="33B89B15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Grado de satisfacción: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Indicador primario de lo que significa la calidad de la atención.</w:t>
      </w:r>
    </w:p>
    <w:p w14:paraId="4C2233F1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>En este sentido representa la evaluación que hacen trabajador y proveedor de la calidad del programa.</w:t>
      </w:r>
    </w:p>
    <w:p w14:paraId="572F910C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Incidencia: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Medida dinámica de la frecuencia con que se presentan o inciden por primera vez, los eventos de salud o enfermedades en el periodo.</w:t>
      </w:r>
    </w:p>
    <w:p w14:paraId="56DC53CC" w14:textId="792CF571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 xml:space="preserve">Incidente: </w:t>
      </w:r>
      <w:r w:rsidRPr="00205408">
        <w:rPr>
          <w:rFonts w:ascii="Arial Narrow" w:eastAsia="Arial" w:hAnsi="Arial Narrow" w:cs="Arial"/>
          <w:sz w:val="24"/>
          <w:szCs w:val="24"/>
        </w:rPr>
        <w:t>"Suceso acaecido en el curso del trabajo o en relación con este, que tuvo el potencial de ser un accidente en el que hubo personas involucradas sin que sufrieran lesiones o se presentaran daños a la propiedad y/o pérdida en los procesos. Resolución número 1401 de 2007</w:t>
      </w:r>
      <w:r w:rsidR="004D26B2" w:rsidRPr="00205408">
        <w:rPr>
          <w:rFonts w:ascii="Arial Narrow" w:eastAsia="Arial" w:hAnsi="Arial Narrow" w:cs="Arial"/>
          <w:sz w:val="24"/>
          <w:szCs w:val="24"/>
        </w:rPr>
        <w:t>.</w:t>
      </w:r>
    </w:p>
    <w:p w14:paraId="5D879C2A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Índice o razón: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Es el cociente entre dos números que muestra la relación de tamaño entre ellos. Se define como la relación existente entre dos poblaciones o universos diferentes.</w:t>
      </w:r>
    </w:p>
    <w:p w14:paraId="367ED60B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Inspecciones de Seguridad: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Es la detección de los riesgos mediante la observación detallada de las áreas o puestos de trabajo y debe incluir: instalaciones locativas, materias primas e insumos, almacenamientos, transporte, maquinaria y equipos, operaciones, condiciones ambientales, sistemas de control de emergencias, vías de evacuación y todas aquellas condiciones que puedan influir en la salud y seguridad de los trabajadores.</w:t>
      </w:r>
    </w:p>
    <w:p w14:paraId="3AE63538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lastRenderedPageBreak/>
        <w:t>Investigación de accidente de trabajo: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Técnica utilizada para el análisis de un accidente laboral, con el fin de conocer el desarrollo de los acontecimientos y determinar las causas y las medidas de control para evitar su repetición.</w:t>
      </w:r>
    </w:p>
    <w:p w14:paraId="2C947B4A" w14:textId="5FF70D81" w:rsidR="00332FDD" w:rsidRPr="00205408" w:rsidRDefault="00332FDD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b/>
          <w:sz w:val="24"/>
          <w:szCs w:val="24"/>
        </w:rPr>
        <w:t>Letalidad: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Proporción de muertos por un evento o una enfermedad determinada, con los casos de ese evento o de enfermedad.</w:t>
      </w:r>
    </w:p>
    <w:p w14:paraId="67382AE7" w14:textId="70D2BE53" w:rsidR="00D843A2" w:rsidRPr="00205408" w:rsidRDefault="00D843A2" w:rsidP="00332FDD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574A8678" w14:textId="77777777" w:rsidR="00332FDD" w:rsidRPr="00205408" w:rsidRDefault="00332FDD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19ECB0E8" w14:textId="67EAB2EC" w:rsidR="00C502F7" w:rsidRPr="00205408" w:rsidRDefault="0053421C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REFERENTES NORMATIVOS</w:t>
      </w:r>
    </w:p>
    <w:p w14:paraId="7B716759" w14:textId="674AF925" w:rsidR="0053421C" w:rsidRPr="00205408" w:rsidRDefault="0053421C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4244EB70" w14:textId="4D2CE018" w:rsidR="001C33A3" w:rsidRPr="00205408" w:rsidRDefault="001C33A3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Arial" w:hAnsi="Arial Narrow" w:cs="Arial"/>
          <w:sz w:val="24"/>
          <w:szCs w:val="24"/>
        </w:rPr>
        <w:t>La normativa aplicable a</w:t>
      </w: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 xml:space="preserve">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Sistema de Gestión de la Seguridad y Salud en el Trabajo (SG-SST) </w:t>
      </w:r>
      <w:r w:rsidR="00EA1FA0" w:rsidRPr="00205408">
        <w:rPr>
          <w:rFonts w:ascii="Arial Narrow" w:eastAsia="Arial" w:hAnsi="Arial Narrow" w:cs="Arial"/>
          <w:sz w:val="24"/>
          <w:szCs w:val="24"/>
        </w:rPr>
        <w:t xml:space="preserve">y aplicable al presente Plan de Trabajo, 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se encuentra en Normograma del Sistema de Gestión Integrado Código: E-SGI-F005, ubicado en Intranet </w:t>
      </w:r>
      <w:r w:rsidR="00EA1FA0" w:rsidRPr="00205408">
        <w:rPr>
          <w:rFonts w:ascii="Arial Narrow" w:eastAsia="Arial" w:hAnsi="Arial Narrow" w:cs="Arial"/>
          <w:sz w:val="24"/>
          <w:szCs w:val="24"/>
        </w:rPr>
        <w:t xml:space="preserve"> IDEAM</w:t>
      </w:r>
      <w:r w:rsidRPr="00205408">
        <w:rPr>
          <w:rFonts w:ascii="Arial Narrow" w:eastAsia="Arial" w:hAnsi="Arial Narrow" w:cs="Arial"/>
          <w:sz w:val="24"/>
          <w:szCs w:val="24"/>
        </w:rPr>
        <w:t xml:space="preserve"> </w:t>
      </w:r>
      <w:r w:rsidR="00EA1FA0" w:rsidRPr="00205408">
        <w:rPr>
          <w:rFonts w:ascii="Arial Narrow" w:eastAsia="Arial" w:hAnsi="Arial Narrow" w:cs="Arial"/>
          <w:sz w:val="24"/>
          <w:szCs w:val="24"/>
        </w:rPr>
        <w:t xml:space="preserve"> </w:t>
      </w:r>
      <w:hyperlink r:id="rId10" w:history="1">
        <w:r w:rsidR="004D26B2" w:rsidRPr="00205408">
          <w:rPr>
            <w:rStyle w:val="Hipervnculo"/>
            <w:rFonts w:ascii="Arial Narrow" w:eastAsia="Arial" w:hAnsi="Arial Narrow" w:cs="Arial"/>
            <w:sz w:val="24"/>
            <w:szCs w:val="24"/>
          </w:rPr>
          <w:t>https://cutt.ly/Mrmuxst</w:t>
        </w:r>
      </w:hyperlink>
      <w:r w:rsidR="004D26B2" w:rsidRPr="00205408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7070A84B" w14:textId="77777777" w:rsidR="00C502F7" w:rsidRPr="00205408" w:rsidRDefault="00C502F7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54686D49" w14:textId="77777777" w:rsidR="00C502F7" w:rsidRPr="00205408" w:rsidRDefault="00C502F7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61159976" w14:textId="69F6A8EF" w:rsidR="00A535E4" w:rsidRPr="00205408" w:rsidRDefault="00A535E4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CONDICIONES GENERALES</w:t>
      </w:r>
    </w:p>
    <w:p w14:paraId="14AD24FA" w14:textId="77777777" w:rsidR="00A535E4" w:rsidRPr="00205408" w:rsidRDefault="00A535E4" w:rsidP="00332FD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51704DE1" w14:textId="28737288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La identificación de los peligros y la valoración de los riesgos </w:t>
      </w:r>
      <w:r w:rsidR="000C67A1" w:rsidRPr="00205408">
        <w:rPr>
          <w:rFonts w:ascii="Arial Narrow" w:eastAsia="Times New Roman" w:hAnsi="Arial Narrow" w:cs="Arial"/>
          <w:sz w:val="24"/>
          <w:szCs w:val="24"/>
          <w:lang w:eastAsia="es-CO"/>
        </w:rPr>
        <w:t>quedan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registrada en el documento suministrado por la ARL, una vez recolectada la información a través de la inspección de las áreas de trabajo, realizada por parte del profesional que la ARL asigne. Adicionalmente, se realiza un inventario de los peligros a los que están expuestos los trabajadores, contratistas y visitantes, con base en la clasificación de los factores de riesgo sugerida por la ARL.</w:t>
      </w:r>
    </w:p>
    <w:p w14:paraId="5C68A061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4DD9BCE" w14:textId="649F069D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La identificación de peligros se realiza a partir del conocimiento de la</w:t>
      </w:r>
      <w:r w:rsidR="005D1B03" w:rsidRPr="00205408">
        <w:rPr>
          <w:rFonts w:ascii="Arial Narrow" w:eastAsia="Times New Roman" w:hAnsi="Arial Narrow" w:cs="Arial"/>
          <w:sz w:val="24"/>
          <w:szCs w:val="24"/>
          <w:lang w:eastAsia="es-CO"/>
        </w:rPr>
        <w:t>s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actividad</w:t>
      </w:r>
      <w:r w:rsidR="005D1B03" w:rsidRPr="00205408">
        <w:rPr>
          <w:rFonts w:ascii="Arial Narrow" w:eastAsia="Times New Roman" w:hAnsi="Arial Narrow" w:cs="Arial"/>
          <w:sz w:val="24"/>
          <w:szCs w:val="24"/>
          <w:lang w:eastAsia="es-CO"/>
        </w:rPr>
        <w:t>es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="005D1B03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desarrolladas por el IDEAM 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y la siguiente información, entre otras:</w:t>
      </w:r>
    </w:p>
    <w:p w14:paraId="34AEFD43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836BB7F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Información demográfica</w:t>
      </w:r>
    </w:p>
    <w:p w14:paraId="26C3CDE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Informes de ausentismo</w:t>
      </w:r>
    </w:p>
    <w:p w14:paraId="40BEFDCB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Causas de incapacidades</w:t>
      </w:r>
    </w:p>
    <w:p w14:paraId="7A1B3DA4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Estadísticas de accidentalidad y enfermedad laboral</w:t>
      </w:r>
    </w:p>
    <w:p w14:paraId="0218C82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Modificaciones en la infraestructura y áreas de trabajo</w:t>
      </w:r>
    </w:p>
    <w:p w14:paraId="0BC402C0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Resultados de indicadores relacionados con SST</w:t>
      </w:r>
    </w:p>
    <w:p w14:paraId="79AA2D2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Nueva normatividad</w:t>
      </w:r>
    </w:p>
    <w:p w14:paraId="10934B3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Emergencias presentadas</w:t>
      </w:r>
    </w:p>
    <w:p w14:paraId="7DB932B3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Quejas y sugerencias de los funcionarios, contratistas y visitantes.</w:t>
      </w:r>
    </w:p>
    <w:p w14:paraId="44DB064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Programa de vigilancia epidemiológica.</w:t>
      </w:r>
    </w:p>
    <w:p w14:paraId="218D6276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4EFD2E49" w14:textId="4E6BEBE5" w:rsidR="005D1B03" w:rsidRDefault="00A535E4" w:rsidP="005D1B0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El diagnóstico de las condiciones de trabajo incluye las características generales de las instalaciones, equipos y demás útiles existentes en los lugares de trabajo, la naturaleza de los peligros físicos, químicos y biológicos presentes en el ambiente de trabajo, y sus correspondientes intensidades, concentraciones o niveles de presencia, los procedimientos para el manejo de los 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lastRenderedPageBreak/>
        <w:t>peligros, que influyan en la generación de riesgos para los trabajadores; la organización y ordenamiento de las labores, incluidos los factores ergonómicos y sicosociales y resultados de inspecciones de seguridad.</w:t>
      </w:r>
    </w:p>
    <w:p w14:paraId="5CDF5094" w14:textId="77777777" w:rsidR="00205408" w:rsidRPr="00205408" w:rsidRDefault="00205408" w:rsidP="005D1B0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61E59483" w14:textId="7449F0B0" w:rsidR="005D1B03" w:rsidRPr="00205408" w:rsidRDefault="00A535E4" w:rsidP="005D1B0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La evaluación del riesgo se realiza mediante la calificación de la probabilidad vs. la consecuencia, lo que permite ubicar los peligros dentro de una escala o nivel del riesgo y quedará documentada en el documento de diagnóstico y la matriz elaborada y entregada por la ARL.</w:t>
      </w:r>
    </w:p>
    <w:p w14:paraId="3F7F584E" w14:textId="0A0D226E" w:rsidR="00A535E4" w:rsidRPr="00205408" w:rsidRDefault="00A535E4" w:rsidP="005D1B03">
      <w:pPr>
        <w:pStyle w:val="Prrafodelista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244FEB05" w14:textId="14B673DB" w:rsidR="0084649C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La identificación de los peligros y la valoración de los riesgos </w:t>
      </w:r>
      <w:r w:rsidR="000C67A1" w:rsidRPr="00205408">
        <w:rPr>
          <w:rFonts w:ascii="Arial Narrow" w:eastAsia="Times New Roman" w:hAnsi="Arial Narrow" w:cs="Arial"/>
          <w:sz w:val="24"/>
          <w:szCs w:val="24"/>
          <w:lang w:eastAsia="es-CO"/>
        </w:rPr>
        <w:t>deben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ser </w:t>
      </w:r>
      <w:r w:rsidR="000C67A1" w:rsidRPr="00205408">
        <w:rPr>
          <w:rFonts w:ascii="Arial Narrow" w:eastAsia="Times New Roman" w:hAnsi="Arial Narrow" w:cs="Arial"/>
          <w:sz w:val="24"/>
          <w:szCs w:val="24"/>
          <w:lang w:eastAsia="es-CO"/>
        </w:rPr>
        <w:t>revisadas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y actualizada por lo menos 1 vez al año. También debe ser actualizada cada vez que ocurra un accidente de trabajo mortal o un evento catastrófico en la entidad o cuando se presenten cambios en los procesos, en las instalaciones o en los equipos; apoyados en el análisis de vulnerabilidad del plan de emergencias. 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br/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br/>
      </w:r>
      <w:r w:rsidR="000C67A1" w:rsidRPr="00205408">
        <w:rPr>
          <w:rFonts w:ascii="Arial Narrow" w:eastAsia="Times New Roman" w:hAnsi="Arial Narrow" w:cs="Arial"/>
          <w:sz w:val="24"/>
          <w:szCs w:val="24"/>
          <w:lang w:eastAsia="es-CO"/>
        </w:rPr>
        <w:t>Diagnóstico</w:t>
      </w:r>
      <w:r w:rsidR="0084649C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de condiciones de Salud, insumo como resultado de la realización de los exámenes médicos ocupacionales que es utilizado para realizar los programas de vigilancia epidemiológica y las actividades del programa de higiene y seguridad industrial, donde se estudian, investigan y analizan las enfermedades ocurridas, determinando sus causas y estableciendo las medidas preventivas.</w:t>
      </w:r>
    </w:p>
    <w:p w14:paraId="717F8FB6" w14:textId="77777777" w:rsidR="0084649C" w:rsidRPr="00205408" w:rsidRDefault="0084649C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136B85B3" w14:textId="40EECD89" w:rsidR="005D1B03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Para el diseño del Plan Anual de Seguridad y Salud en el Trabajo se debe contar con el acompañamiento de la ARL, programa de vigilancia epidemiológica. </w:t>
      </w:r>
    </w:p>
    <w:p w14:paraId="1EF4E3F2" w14:textId="78565228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br/>
        <w:t xml:space="preserve">Los roles y responsabilidades definidos para la gestión de la seguridad y salud en el trabajo en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el 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, son los siguientes:</w:t>
      </w:r>
    </w:p>
    <w:p w14:paraId="33D96C11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713A803" w14:textId="77777777" w:rsidR="00A535E4" w:rsidRPr="00205408" w:rsidRDefault="00A535E4" w:rsidP="0084649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Alta Dirección:</w:t>
      </w:r>
    </w:p>
    <w:p w14:paraId="08213AC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Definir, firmar y divulgar la política de Seguridad y Salud en el Trabajo y revisar los objetivos para asegurar que sigan siendo pertinentes y apropiados para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.</w:t>
      </w:r>
    </w:p>
    <w:p w14:paraId="7DD8CD44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Asignar, documentar y comunicar las funciones, responsabilidades y autoridad específicas en seguridad y salud en el trabajo, a todos los niveles de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.</w:t>
      </w:r>
    </w:p>
    <w:p w14:paraId="014795E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Definir y asignar los recursos financieros, técnicos y personal necesario para que el responsable de la Seguridad y Salud en el Trabajo y el Comité Paritario de Seguridad y Salud en el Trabajo - COPASST puedan cumplir con sus funciones. </w:t>
      </w:r>
    </w:p>
    <w:p w14:paraId="324E7D7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Garantizar la designación del funcionario responsable de la Seguridad y Salud en el Trabajo, el cual debe cumplir el perfil establecido en la normatividad vigente, e informar a toda </w:t>
      </w:r>
      <w:r w:rsidR="000972F5" w:rsidRPr="00205408">
        <w:rPr>
          <w:rFonts w:ascii="Arial Narrow" w:eastAsia="Times New Roman" w:hAnsi="Arial Narrow" w:cs="Arial"/>
          <w:sz w:val="24"/>
          <w:szCs w:val="24"/>
          <w:lang w:eastAsia="es-CO"/>
        </w:rPr>
        <w:t>el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la identidad del mismo. </w:t>
      </w:r>
    </w:p>
    <w:p w14:paraId="0830CB3A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Asegurar la adopción de medidas eficaces que garanticen la participación en la ejecución de la política por parte de los funcionarios y sus representantes ante el Comité Paritario de Seguridad y Salud en el Trabajo - COPASST, suministrando el tiempo y demás recursos necesarios.</w:t>
      </w:r>
    </w:p>
    <w:p w14:paraId="6E39EE50" w14:textId="0E8B3511" w:rsidR="0084649C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lastRenderedPageBreak/>
        <w:t>• Evaluar por lo menos una vez al año la gestión de seguridad y salud en el trabajo e implementar los correctivos necesarios para el cumplimiento de metas y objetivos.</w:t>
      </w:r>
    </w:p>
    <w:p w14:paraId="09FC341D" w14:textId="77777777" w:rsidR="0084649C" w:rsidRPr="00205408" w:rsidRDefault="0084649C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2DBB56F2" w14:textId="790B8BC3" w:rsidR="00A535E4" w:rsidRPr="00205408" w:rsidRDefault="0084649C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C</w:t>
      </w:r>
      <w:r w:rsidR="000972F5"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oordinador del Grupo de Administración y Desarrollo del Talento Humano</w:t>
      </w:r>
      <w:r w:rsidR="00A535E4"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:</w:t>
      </w:r>
    </w:p>
    <w:p w14:paraId="07035DDB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Planear, organizar y dirigir la implementación del Sistema de Gestión de la Seguridad y Salud en el Trabajo SG-SST, y realizar su evaluación como mínimo una (1) vez al año.</w:t>
      </w:r>
    </w:p>
    <w:p w14:paraId="2734492A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Informar a la Alta Dirección sobre los resultados del desempeño en seguridad y salud en el trabajo y realizar por lo menos una</w:t>
      </w:r>
      <w:r w:rsidR="000972F5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(1) vez al año, la rendición de cuentas al interior de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a través de medios escritos, electrónicos, verbales o los que se considere necesarios.</w:t>
      </w:r>
    </w:p>
    <w:p w14:paraId="1BE7A95A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Implementar y desarrollar actividades de prevención de accidentes de trabajo y enfermedades laborales, así como de promoción de la salud en el Sistema de Gestión de la Seguridad y Salud en el Trabajo - SGSST, de conformidad con la normatividad vigente.</w:t>
      </w:r>
    </w:p>
    <w:p w14:paraId="2158940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Evaluar las recomendaciones emanadas por los funcionarios, contratistas y/o Comité Paritario de Seguridad y Salud en el Trabajo – COPASST y someter a consideración de la Alta Dirección las propuestas de mejora que requieran de su aprobación.</w:t>
      </w:r>
    </w:p>
    <w:p w14:paraId="5E346C9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Promover la participación de todos los funcionarios en la implementación del Sistema de Gestión de la Seguridad y Salud en el Trabajo SG-SST.</w:t>
      </w:r>
    </w:p>
    <w:p w14:paraId="1C36F410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Solicitar a los jefes de área y líderes de los procesos la información que resulte necesaria para hacer seguimiento a la implementación del sistema de seguridad y salud en el trabajo.</w:t>
      </w:r>
    </w:p>
    <w:p w14:paraId="033DD26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Coordinar la respuesta de las consultas, derechos de petición y solicitudes de información, internas y externas, que se presenten a la entidad con relación a la seguridad y salud en el trabajo.</w:t>
      </w:r>
    </w:p>
    <w:p w14:paraId="75BE2D15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Hacer seguimiento al cumplimiento de las decisiones adoptadas por la Alta Dirección y/o el comité respectivo, en lo relacionado con la seguridad y salud en el trabajo.</w:t>
      </w:r>
    </w:p>
    <w:p w14:paraId="1BD47326" w14:textId="03A17739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Garantizar un programa de inducción y entrenamiento para los funcionarios que </w:t>
      </w:r>
      <w:r w:rsidR="000C67A1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ingresen al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, independientemente de su forma de contratación y vinculación</w:t>
      </w:r>
    </w:p>
    <w:p w14:paraId="40522E3B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Garantizar un programa de capacitación acorde con las necesidades específicas detectadas en la identificación de peligros y valoración de riesgos, así como el manejo de las situaciones de emergencia, dentro de la jornada laboral de los funcionarios o en el desarrollo de la prestación del servicio de los contratistas. </w:t>
      </w:r>
    </w:p>
    <w:p w14:paraId="2BC4547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Garantizar información oportuna sobre la gestión de seguridad y salud en el trabajo y canales de comunicación que permitan recolectar información manifestada por los trabajadores.</w:t>
      </w:r>
    </w:p>
    <w:p w14:paraId="25E93A90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44DAD199" w14:textId="77777777" w:rsidR="00340303" w:rsidRPr="00205408" w:rsidRDefault="00340303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7F787E46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Profesional área de Talento humano que lidera seguridad y salud:</w:t>
      </w:r>
    </w:p>
    <w:p w14:paraId="4C914D13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Desarrollar junto con la ARL la identificación de peligros, evaluación y valoración de riesgos y establecimiento de controles, que prevengan daños en la salud de los funcionarios y/o contratistas y subcontratistas, en los equipos e instalaciones, para hacer la priorización y focalizar la intervención.</w:t>
      </w:r>
    </w:p>
    <w:p w14:paraId="7D469F4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Realizar evaluaciones periódicas para garantizar el cumplimiento legal de la normatividad nacional vigente aplicable a</w:t>
      </w:r>
      <w:r w:rsidR="000972F5" w:rsidRPr="00205408">
        <w:rPr>
          <w:rFonts w:ascii="Arial Narrow" w:eastAsia="Times New Roman" w:hAnsi="Arial Narrow" w:cs="Arial"/>
          <w:sz w:val="24"/>
          <w:szCs w:val="24"/>
          <w:lang w:eastAsia="es-CO"/>
        </w:rPr>
        <w:t>l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, en materia de seguridad y salud en el trabajo. </w:t>
      </w:r>
    </w:p>
    <w:p w14:paraId="195A3F2B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lastRenderedPageBreak/>
        <w:t>• Diseñar junto con la ARL el Plan Anual de Seguridad y Salud en el Trabajo, gestionar los recursos necesarios para su desarrollo y realizar el seguimiento al cumplimiento del mismo.</w:t>
      </w:r>
    </w:p>
    <w:p w14:paraId="36360134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Mantener actualizada la matriz de requisitos legales de acuerdo con la identificación de la normatividad nacional aplicable del Sistema General de Riesgos Laborales. </w:t>
      </w:r>
    </w:p>
    <w:p w14:paraId="50D904A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Participar en las inspecciones de seguridad.</w:t>
      </w:r>
    </w:p>
    <w:p w14:paraId="30944F90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Identificar las necesidades de capacitación de acuerdo con los riesgos prioritarios para diseñar el programa de capacitación en seguridad y salud y solicitar los cursos de formación o entrenamiento.</w:t>
      </w:r>
    </w:p>
    <w:p w14:paraId="44BD196F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Apoyar la investigación de los accidentes e incidentes de trabajo.</w:t>
      </w:r>
    </w:p>
    <w:p w14:paraId="2585942A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Coordinar la realización de la convocatoria, elección y conformación del COPASST y participar de las reuniones del mismo.</w:t>
      </w:r>
    </w:p>
    <w:p w14:paraId="1091C4C3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Coordinar la realización de actividades de divulgación de los temas de seguridad y salud en el trabajo al interior de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.</w:t>
      </w:r>
    </w:p>
    <w:p w14:paraId="4336147A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Coordinar la implementación de controles para gestionar los riesgos asociados con los contratistas y visitantes en el lugar de trabajo. </w:t>
      </w:r>
    </w:p>
    <w:p w14:paraId="33295EBF" w14:textId="1F44FDE7" w:rsidR="000972F5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Generar propuestas para el mejoramiento del desempeño de la seguridad y salud en el trabajo de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="00340303" w:rsidRPr="00205408">
        <w:rPr>
          <w:rFonts w:ascii="Arial Narrow" w:eastAsia="Times New Roman" w:hAnsi="Arial Narrow" w:cs="Arial"/>
          <w:sz w:val="24"/>
          <w:szCs w:val="24"/>
          <w:lang w:eastAsia="es-CO"/>
        </w:rPr>
        <w:t>.</w:t>
      </w:r>
    </w:p>
    <w:p w14:paraId="34CD58F7" w14:textId="77777777" w:rsidR="00340303" w:rsidRPr="00205408" w:rsidRDefault="00340303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5524A525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Funcionarios:</w:t>
      </w:r>
    </w:p>
    <w:p w14:paraId="79E05B86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Procurar el cuidado integral de su salud y suministrar información clara, completa y veraz sobre su estado de salud.</w:t>
      </w:r>
    </w:p>
    <w:p w14:paraId="2F2410C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Conocer y cumplir la Política de Seguridad y Salud en el Trabajo y demás normas, reglamentos e instrucciones sobre seguridad y salud propias de la Entidad.</w:t>
      </w:r>
    </w:p>
    <w:p w14:paraId="15A467C1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Informar oportunamente al jefe inmediato los peligros o condiciones de riesgo potencial del sitio de trabajo y reportar inmediatamente todo incidente o accidente de trabajo.</w:t>
      </w:r>
    </w:p>
    <w:p w14:paraId="5F2D1933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Participar en las actividades de capacitación en seguridad y salud a las cuales sea convocado, y en las actividades de revisión y prueba de los procedimientos de preparación y respuesta ante emergencias que se realicen en la Entidad.</w:t>
      </w:r>
    </w:p>
    <w:p w14:paraId="602C9B4F" w14:textId="4AFDBC3D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Participar y contribuir al cumplimiento de los objetivos del Sistema de Gestión de la Seguridad y Salud en el Trabajo SG-SST.</w:t>
      </w:r>
    </w:p>
    <w:p w14:paraId="2A4F011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3EA801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Comité Paritario de Seguridad y Salud en el Trabajo- COPASST:</w:t>
      </w:r>
    </w:p>
    <w:p w14:paraId="3D5C9D8E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Las responsabilidades de este Comité se encuentran establecidas en la Resolución 2013 de 1986 de Mintrabajo y Min Salud, el Decreto 1443 de 2014 y el Decreto 1072 de 2015.</w:t>
      </w:r>
    </w:p>
    <w:p w14:paraId="25151F1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6575CC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Comité de Convivencia Laboral:</w:t>
      </w:r>
    </w:p>
    <w:p w14:paraId="508FDFF7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Las responsabilidades de este Comité se encuentran establecidas en las Resoluciones 652 y 1356 de 2012, expedidas por el Ministerio de Trabajo y en la Resolución 305 de 2016 de la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.</w:t>
      </w:r>
    </w:p>
    <w:p w14:paraId="3A8FE91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3DEEC3F8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Contratistas:</w:t>
      </w:r>
    </w:p>
    <w:p w14:paraId="0BE0D10C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Procurar el cuidado integral de su salud. </w:t>
      </w:r>
    </w:p>
    <w:p w14:paraId="4AC06591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lastRenderedPageBreak/>
        <w:t xml:space="preserve">• Suministrar al personal contratista y subcontratista los elementos de protección personal necesarios para ejecutar la actividad contratada. </w:t>
      </w:r>
    </w:p>
    <w:p w14:paraId="52054BF5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Cumplir con la política de seguridad y salud en el trabajo de</w:t>
      </w:r>
      <w:r w:rsidR="000972F5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l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, normas, reglamentos e instrucciones del Sistema de Gestión de la Seguridad y Salud en el Trabajo SG-SST.</w:t>
      </w:r>
    </w:p>
    <w:p w14:paraId="303FDF81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• Participar en las actividades de prevención, promoción, preparación y respuesta ante emergencias organizadas por </w:t>
      </w:r>
      <w:r w:rsidR="000972F5"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el </w:t>
      </w:r>
      <w:r w:rsidR="00B5697F" w:rsidRPr="00205408">
        <w:rPr>
          <w:rFonts w:ascii="Arial Narrow" w:eastAsia="Times New Roman" w:hAnsi="Arial Narrow" w:cs="Arial"/>
          <w:sz w:val="24"/>
          <w:szCs w:val="24"/>
          <w:lang w:eastAsia="es-CO"/>
        </w:rPr>
        <w:t>IDEAM</w:t>
      </w: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, el Comité Paritario de Seguridad y Salud en el Trabajo o ARL, a las cuales sea convocado.</w:t>
      </w:r>
    </w:p>
    <w:p w14:paraId="1D6E281D" w14:textId="7777777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Garantizar la aplicación de las instrucciones sobre seguridad y salud durante el desarrollo del contrato.</w:t>
      </w:r>
    </w:p>
    <w:p w14:paraId="2605A89E" w14:textId="7EB38117" w:rsidR="00A535E4" w:rsidRPr="00205408" w:rsidRDefault="00A535E4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• Informar oportunamente al supervisor del contrato la ocurrencia de incidentes o accidentes de trabajo, así como situaciones potenciales de riesgo que pudieran tener impacto en la seguridad y salud.</w:t>
      </w:r>
    </w:p>
    <w:p w14:paraId="6C3C3709" w14:textId="5D184BC7" w:rsidR="00982FBC" w:rsidRPr="00205408" w:rsidRDefault="00982FBC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082006B6" w14:textId="77777777" w:rsidR="00982FBC" w:rsidRPr="00205408" w:rsidRDefault="00982FBC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6AB08371" w14:textId="146FEF3F" w:rsidR="0084649C" w:rsidRPr="00205408" w:rsidRDefault="00982FBC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 xml:space="preserve">ESTRUCTURA DEL </w:t>
      </w:r>
      <w:r w:rsidRPr="00205408">
        <w:rPr>
          <w:rFonts w:ascii="Arial Narrow" w:eastAsia="Arial" w:hAnsi="Arial Narrow" w:cs="Arial"/>
          <w:b/>
          <w:sz w:val="24"/>
          <w:szCs w:val="24"/>
        </w:rPr>
        <w:t>PLAN DE TRABAJO DE SEGURIDAD Y SALUD EN EL TRABAJO (SST)</w:t>
      </w:r>
    </w:p>
    <w:p w14:paraId="70BE95EE" w14:textId="77777777" w:rsidR="0084649C" w:rsidRPr="00205408" w:rsidRDefault="0084649C" w:rsidP="00F7273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42228532" w14:textId="2A10238A" w:rsidR="00A535E4" w:rsidRPr="00205408" w:rsidRDefault="00982FBC" w:rsidP="00A535E4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>El plan de trabajo d</w:t>
      </w:r>
      <w:r w:rsidRPr="00205408">
        <w:rPr>
          <w:rFonts w:ascii="Arial Narrow" w:eastAsia="Arial" w:hAnsi="Arial Narrow" w:cs="Arial"/>
          <w:sz w:val="24"/>
          <w:szCs w:val="24"/>
        </w:rPr>
        <w:t>escribe las actividades que permiten al IDEAM enfocarse en los riegos críticos identificados y establecer estrategias que permitan proteger la seguridad y salud de los funcionarios y contratistas, cumpliendo con la normativa nacional vigente aplicable en materia de riesgos laborales definiendo el Plan Anual de Seguridad y Salud en el Trabajo.</w:t>
      </w:r>
    </w:p>
    <w:p w14:paraId="3B85DFF3" w14:textId="4F293E6C" w:rsidR="00982FBC" w:rsidRPr="00205408" w:rsidRDefault="00DE629E" w:rsidP="00DE629E">
      <w:pPr>
        <w:tabs>
          <w:tab w:val="left" w:pos="3855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ab/>
      </w:r>
    </w:p>
    <w:p w14:paraId="2C47E18E" w14:textId="77777777" w:rsidR="00335DED" w:rsidRPr="00205408" w:rsidRDefault="00D90CAC" w:rsidP="004D26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408">
        <w:rPr>
          <w:rFonts w:ascii="Arial Narrow" w:hAnsi="Arial Narrow"/>
          <w:sz w:val="24"/>
          <w:szCs w:val="24"/>
          <w:lang w:eastAsia="es-CO"/>
        </w:rPr>
        <w:fldChar w:fldCharType="begin"/>
      </w:r>
      <w:r w:rsidRPr="00205408">
        <w:rPr>
          <w:rFonts w:ascii="Arial Narrow" w:hAnsi="Arial Narrow"/>
          <w:sz w:val="24"/>
          <w:szCs w:val="24"/>
          <w:lang w:eastAsia="es-CO"/>
        </w:rPr>
        <w:instrText xml:space="preserve"> LINK </w:instrText>
      </w:r>
      <w:r w:rsidR="00335DED" w:rsidRPr="00205408">
        <w:rPr>
          <w:rFonts w:ascii="Arial Narrow" w:hAnsi="Arial Narrow"/>
          <w:sz w:val="24"/>
          <w:szCs w:val="24"/>
          <w:lang w:eastAsia="es-CO"/>
        </w:rPr>
        <w:instrText xml:space="preserve">Excel.Sheet.12 Libro1 Hoja1!F1C1:F12C4 </w:instrText>
      </w:r>
      <w:r w:rsidRPr="00205408">
        <w:rPr>
          <w:rFonts w:ascii="Arial Narrow" w:hAnsi="Arial Narrow"/>
          <w:sz w:val="24"/>
          <w:szCs w:val="24"/>
          <w:lang w:eastAsia="es-CO"/>
        </w:rPr>
        <w:instrText xml:space="preserve">\a \f 4 \h </w:instrText>
      </w:r>
      <w:r w:rsidR="004D26B2" w:rsidRPr="00205408">
        <w:rPr>
          <w:rFonts w:ascii="Arial Narrow" w:hAnsi="Arial Narrow"/>
          <w:sz w:val="24"/>
          <w:szCs w:val="24"/>
          <w:lang w:eastAsia="es-CO"/>
        </w:rPr>
        <w:instrText xml:space="preserve"> \* MERGEFORMAT </w:instrText>
      </w:r>
      <w:r w:rsidRPr="00205408">
        <w:rPr>
          <w:rFonts w:ascii="Arial Narrow" w:hAnsi="Arial Narrow"/>
          <w:sz w:val="24"/>
          <w:szCs w:val="24"/>
          <w:lang w:eastAsia="es-CO"/>
        </w:rPr>
        <w:fldChar w:fldCharType="separate"/>
      </w:r>
    </w:p>
    <w:p w14:paraId="2D2EB11B" w14:textId="77777777" w:rsidR="002B4156" w:rsidRPr="00205408" w:rsidRDefault="00D90CAC" w:rsidP="004D26B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  <w:sectPr w:rsidR="002B4156" w:rsidRPr="00205408" w:rsidSect="00481000">
          <w:headerReference w:type="default" r:id="rId11"/>
          <w:footerReference w:type="first" r:id="rId12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fldChar w:fldCharType="end"/>
      </w:r>
    </w:p>
    <w:p w14:paraId="64CECC80" w14:textId="21C9CFC2" w:rsidR="00335DED" w:rsidRPr="00936E74" w:rsidRDefault="00335DED" w:rsidP="00335D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6E74">
        <w:rPr>
          <w:rFonts w:ascii="Arial Narrow" w:hAnsi="Arial Narrow"/>
          <w:sz w:val="20"/>
          <w:szCs w:val="20"/>
          <w:lang w:eastAsia="es-CO"/>
        </w:rPr>
        <w:lastRenderedPageBreak/>
        <w:fldChar w:fldCharType="begin"/>
      </w:r>
      <w:r w:rsidRPr="00936E74">
        <w:rPr>
          <w:rFonts w:ascii="Arial Narrow" w:hAnsi="Arial Narrow"/>
          <w:sz w:val="20"/>
          <w:szCs w:val="20"/>
          <w:lang w:eastAsia="es-CO"/>
        </w:rPr>
        <w:instrText xml:space="preserve"> LINK Excel.Sheet.12 "Libro2" "Hoja1!F1C1:F15C4" \a \f 4 \h </w:instrText>
      </w:r>
      <w:r w:rsidR="00BE17F3" w:rsidRPr="00936E74">
        <w:rPr>
          <w:rFonts w:ascii="Arial Narrow" w:hAnsi="Arial Narrow"/>
          <w:sz w:val="20"/>
          <w:szCs w:val="20"/>
          <w:lang w:eastAsia="es-CO"/>
        </w:rPr>
        <w:instrText xml:space="preserve"> \* MERGEFORMAT </w:instrText>
      </w:r>
      <w:r w:rsidRPr="00936E74">
        <w:rPr>
          <w:rFonts w:ascii="Arial Narrow" w:hAnsi="Arial Narrow"/>
          <w:sz w:val="20"/>
          <w:szCs w:val="20"/>
          <w:lang w:eastAsia="es-CO"/>
        </w:rPr>
        <w:fldChar w:fldCharType="separat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2693"/>
        <w:gridCol w:w="1701"/>
        <w:gridCol w:w="1134"/>
      </w:tblGrid>
      <w:tr w:rsidR="00BE17F3" w:rsidRPr="00936E74" w14:paraId="731B5BE6" w14:textId="77777777" w:rsidTr="00936E74">
        <w:trPr>
          <w:divId w:val="1794980589"/>
          <w:trHeight w:val="780"/>
        </w:trPr>
        <w:tc>
          <w:tcPr>
            <w:tcW w:w="37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21C89E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1A21F9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REQUISITO LEGAL Y/O NORMATIVO (Dec. 1072 de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963FBA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POBLACIÓN OBJETO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17761E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Requiere Recurso</w:t>
            </w:r>
          </w:p>
        </w:tc>
      </w:tr>
      <w:tr w:rsidR="00BE17F3" w:rsidRPr="00936E74" w14:paraId="5639F9BD" w14:textId="77777777" w:rsidTr="00936E74">
        <w:trPr>
          <w:divId w:val="1794980589"/>
          <w:trHeight w:val="31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A1822F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1) Componente legal / actividades prioritarias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E0C3A2F" w14:textId="77777777" w:rsidR="00335DED" w:rsidRPr="00936E74" w:rsidRDefault="00335DED" w:rsidP="00335DED">
            <w:pPr>
              <w:spacing w:after="24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2.2.4.6.11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2.2.4.6.13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2.2.4.6.16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2.2.4.6.17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 2.2.4.6.35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2.2.4.6.31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4927 de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2119A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E304C0" w14:textId="050A9460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  <w:r w:rsidR="00205408"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BE17F3" w:rsidRPr="00936E74" w14:paraId="6D54D113" w14:textId="77777777" w:rsidTr="00936E74">
        <w:trPr>
          <w:divId w:val="1794980589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2EA626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2)  Planificación del sistema de gestión de SST.  (Artículo 2.2.4.6.17.) / administrador del SGSST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A8B527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3A7F99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3DCFAC" w14:textId="01EAE4D8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  <w:r w:rsidR="00205408"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BE17F3" w:rsidRPr="00936E74" w14:paraId="1982B5BB" w14:textId="77777777" w:rsidTr="00936E74">
        <w:trPr>
          <w:divId w:val="1794980589"/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E5ACB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3) Actividades específicas por programas de gestión de la salud (promoción de la salud)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B1F5753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Resolución 2346 de 2007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1409 de 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2.4.2.2.12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2.2.4.6.13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 xml:space="preserve">Artículo 2.2.4.6.16 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2.2.4.6.18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65CE23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A1FD64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37AF95AD" w14:textId="77777777" w:rsidTr="00936E74">
        <w:trPr>
          <w:divId w:val="1794980589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827697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3.1) Actividades de Promoción de la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0C466A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F615E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EB2AD4F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2A61F8AF" w14:textId="77777777" w:rsidTr="00936E74">
        <w:trPr>
          <w:divId w:val="1794980589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0DEFDA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3.2) Programa Deportistas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B76E83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2346 de 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177C2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026823" w14:textId="2B59EE43" w:rsidR="00335DED" w:rsidRPr="00936E74" w:rsidRDefault="00205408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</w:t>
            </w:r>
            <w:r w:rsidR="00335DED"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BE17F3" w:rsidRPr="00936E74" w14:paraId="3A054857" w14:textId="77777777" w:rsidTr="00936E74">
        <w:trPr>
          <w:divId w:val="1794980589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8E0F9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5. Gestión de la seguridad en el trabajo -ST-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3F9E32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8C6FAB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A4A972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2864D6B6" w14:textId="77777777" w:rsidTr="00936E74">
        <w:trPr>
          <w:divId w:val="1794980589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B507D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5.1. Gestión de lo Elementos de Protección Personal -EPP-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FAEC4A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47D8C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543AE9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BE17F3" w:rsidRPr="00936E74" w14:paraId="6DB45E85" w14:textId="77777777" w:rsidTr="00936E74">
        <w:trPr>
          <w:divId w:val="1794980589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8DC455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5.2. Preparación y Respuesta Ante Emergencias -Plan de Emergencias-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CB1BDE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CF3CA2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55D409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22BE2A4A" w14:textId="77777777" w:rsidTr="00936E74">
        <w:trPr>
          <w:divId w:val="1794980589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9AFAE5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5.3. Identificación de Peligros, Evaluación y Valoración de Riesgos -IPEVR-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397F04B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EA4390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2ECEBE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7039ECB1" w14:textId="77777777" w:rsidTr="00936E74">
        <w:trPr>
          <w:divId w:val="1794980589"/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469157F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5.4. Trabajo en Alturas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6AA750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Resolución  1409 de 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A1A3C5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149236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SI</w:t>
            </w:r>
          </w:p>
        </w:tc>
      </w:tr>
      <w:tr w:rsidR="00BE17F3" w:rsidRPr="00936E74" w14:paraId="311AE9D9" w14:textId="77777777" w:rsidTr="00936E74">
        <w:trPr>
          <w:divId w:val="1794980589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3A42A6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6 Seguridad vial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1BE05A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Ley 769 de 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7AB4E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7A3A4A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BE17F3" w:rsidRPr="00936E74" w14:paraId="05C5DB1A" w14:textId="77777777" w:rsidTr="00936E74">
        <w:trPr>
          <w:divId w:val="1794980589"/>
          <w:trHeight w:val="17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089EFD0" w14:textId="77777777" w:rsidR="00335DED" w:rsidRPr="00936E74" w:rsidRDefault="00335DED" w:rsidP="00335DE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lastRenderedPageBreak/>
              <w:t xml:space="preserve">7 Gestión del riesgo psicosocial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C1F16D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2.2.4.6.23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Ley 1010 de 2006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2646 de 2008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652 de 2012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1356 de 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57CDF9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85882D" w14:textId="3416583C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  <w:r w:rsidR="00205408"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 w:rsidR="00BE17F3" w:rsidRPr="00936E74" w14:paraId="70B202C0" w14:textId="77777777" w:rsidTr="00936E74">
        <w:trPr>
          <w:divId w:val="1794980589"/>
          <w:trHeight w:val="10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732321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8 Videoconferencias socialización y seguimiento al desempeño del SGSST en centros de trabajo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61762A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312 de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31A82B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Aplica a todo el IDEAM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0D563B" w14:textId="5843C2BF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 </w:t>
            </w:r>
            <w:r w:rsidR="00205408"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</w:tbl>
    <w:p w14:paraId="11B76BD2" w14:textId="3B16B244" w:rsidR="00335DED" w:rsidRPr="00936E74" w:rsidRDefault="00335DED" w:rsidP="00335DED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936E74">
        <w:rPr>
          <w:rFonts w:ascii="Arial Narrow" w:hAnsi="Arial Narrow"/>
          <w:sz w:val="20"/>
          <w:szCs w:val="20"/>
          <w:lang w:eastAsia="es-CO"/>
        </w:rPr>
        <w:fldChar w:fldCharType="end"/>
      </w:r>
    </w:p>
    <w:p w14:paraId="4E4B16E6" w14:textId="77777777" w:rsidR="00205408" w:rsidRPr="00936E74" w:rsidRDefault="00205408" w:rsidP="00AA27B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</w:p>
    <w:p w14:paraId="6CF8BBB1" w14:textId="61567ECB" w:rsidR="00982FBC" w:rsidRPr="00936E74" w:rsidRDefault="00205408" w:rsidP="00AA27B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  <w:r w:rsidRPr="00936E74">
        <w:rPr>
          <w:rFonts w:ascii="Arial Narrow" w:eastAsia="Times New Roman" w:hAnsi="Arial Narrow" w:cs="Arial"/>
          <w:b/>
          <w:sz w:val="20"/>
          <w:szCs w:val="20"/>
          <w:lang w:eastAsia="es-CO"/>
        </w:rPr>
        <w:t>P</w:t>
      </w:r>
      <w:r w:rsidR="00AA27B1" w:rsidRPr="00936E74">
        <w:rPr>
          <w:rFonts w:ascii="Arial Narrow" w:eastAsia="Times New Roman" w:hAnsi="Arial Narrow" w:cs="Arial"/>
          <w:b/>
          <w:sz w:val="20"/>
          <w:szCs w:val="20"/>
          <w:lang w:eastAsia="es-CO"/>
        </w:rPr>
        <w:t>RESUPUESTO</w:t>
      </w:r>
    </w:p>
    <w:p w14:paraId="418A19E3" w14:textId="77777777" w:rsidR="00AA27B1" w:rsidRPr="00936E74" w:rsidRDefault="00AA27B1" w:rsidP="00AA27B1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</w:p>
    <w:p w14:paraId="6A0FF1A7" w14:textId="55753FDF" w:rsidR="00AA27B1" w:rsidRPr="00936E74" w:rsidRDefault="00AA27B1" w:rsidP="00AA27B1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936E74">
        <w:rPr>
          <w:rFonts w:ascii="Arial Narrow" w:eastAsia="Times New Roman" w:hAnsi="Arial Narrow" w:cs="Arial"/>
          <w:sz w:val="20"/>
          <w:szCs w:val="20"/>
          <w:lang w:eastAsia="es-CO"/>
        </w:rPr>
        <w:t>A continuación se relaciona las actividades del plan que requieren de asignación de  presupuesto:</w:t>
      </w:r>
    </w:p>
    <w:p w14:paraId="0FEBADC8" w14:textId="2FF86DB1" w:rsidR="00335DED" w:rsidRPr="00936E74" w:rsidRDefault="00335DED" w:rsidP="00A535E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6E74">
        <w:rPr>
          <w:rFonts w:ascii="Arial Narrow" w:hAnsi="Arial Narrow"/>
          <w:sz w:val="20"/>
          <w:szCs w:val="20"/>
          <w:lang w:eastAsia="es-CO"/>
        </w:rPr>
        <w:fldChar w:fldCharType="begin"/>
      </w:r>
      <w:r w:rsidRPr="00936E74">
        <w:rPr>
          <w:rFonts w:ascii="Arial Narrow" w:hAnsi="Arial Narrow"/>
          <w:sz w:val="20"/>
          <w:szCs w:val="20"/>
          <w:lang w:eastAsia="es-CO"/>
        </w:rPr>
        <w:instrText xml:space="preserve"> LINK Excel.Sheet.12 "Libro2" "Hoja1!F1C1:F15C5" \a \f 4 \h </w:instrText>
      </w:r>
      <w:r w:rsidR="00196E46" w:rsidRPr="00936E74">
        <w:rPr>
          <w:rFonts w:ascii="Arial Narrow" w:hAnsi="Arial Narrow"/>
          <w:sz w:val="20"/>
          <w:szCs w:val="20"/>
          <w:lang w:eastAsia="es-CO"/>
        </w:rPr>
        <w:instrText xml:space="preserve"> \* MERGEFORMAT </w:instrText>
      </w:r>
      <w:r w:rsidRPr="00936E74">
        <w:rPr>
          <w:rFonts w:ascii="Arial Narrow" w:hAnsi="Arial Narrow"/>
          <w:sz w:val="20"/>
          <w:szCs w:val="20"/>
          <w:lang w:eastAsia="es-CO"/>
        </w:rPr>
        <w:fldChar w:fldCharType="separate"/>
      </w: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00"/>
        <w:gridCol w:w="3020"/>
        <w:gridCol w:w="2680"/>
      </w:tblGrid>
      <w:tr w:rsidR="00335DED" w:rsidRPr="00936E74" w14:paraId="193D3DEF" w14:textId="77777777" w:rsidTr="00335DED">
        <w:trPr>
          <w:trHeight w:val="780"/>
          <w:jc w:val="center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F9C762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62D197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REQUISITO LEGAL Y/O NORMATIVO (Dec. 1072 de 2015)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E2C21A" w14:textId="77777777" w:rsidR="00335DED" w:rsidRPr="00936E74" w:rsidRDefault="00335DED" w:rsidP="00335D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TOTAL RECURSOS (PESOS COLOMBIANOS)</w:t>
            </w:r>
          </w:p>
        </w:tc>
      </w:tr>
      <w:tr w:rsidR="00335DED" w:rsidRPr="00936E74" w14:paraId="30BDEF5D" w14:textId="77777777" w:rsidTr="00335DED">
        <w:trPr>
          <w:trHeight w:val="1980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F55C26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3) Actividades específicas por programas de gestión de la salud (promoción de la salud)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DDCF1F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Resolución 2346 de 2007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1409 de 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2.4.2.2.12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2.2.4.6.13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 xml:space="preserve">Artículo 2.2.4.6.16 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Artículo 2.2.4.6.18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4E2A69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100.000.000,00 </w:t>
            </w:r>
          </w:p>
        </w:tc>
      </w:tr>
      <w:tr w:rsidR="00335DED" w:rsidRPr="00936E74" w14:paraId="658B9C39" w14:textId="77777777" w:rsidTr="00335DED">
        <w:trPr>
          <w:trHeight w:val="510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9487F3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3.1) Actividades de Promoción de la Salud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301B7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FC27B1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100.000.000,00 </w:t>
            </w:r>
          </w:p>
        </w:tc>
      </w:tr>
      <w:tr w:rsidR="00335DED" w:rsidRPr="00936E74" w14:paraId="6791018E" w14:textId="77777777" w:rsidTr="00335DED">
        <w:trPr>
          <w:trHeight w:val="510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2B2540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5. Gestión de la seguridad en el trabajo -ST-     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A40AF5C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3B64A6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150.000.000,00 </w:t>
            </w:r>
          </w:p>
        </w:tc>
      </w:tr>
      <w:tr w:rsidR="00335DED" w:rsidRPr="00936E74" w14:paraId="34165FEA" w14:textId="77777777" w:rsidTr="00335DED">
        <w:trPr>
          <w:trHeight w:val="510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0F588D7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5.1. Gestión de lo Elementos de Protección Personal -EPP-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8F7B4C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1350FA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                 -   </w:t>
            </w:r>
          </w:p>
        </w:tc>
      </w:tr>
      <w:tr w:rsidR="00335DED" w:rsidRPr="00936E74" w14:paraId="577560A3" w14:textId="77777777" w:rsidTr="00335DED">
        <w:trPr>
          <w:trHeight w:val="765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6A543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5.2. Preparación y Respuesta Ante Emergencias -Plan de Emergencias-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F2DDBBB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2A93D0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35.000.000,00 </w:t>
            </w:r>
          </w:p>
        </w:tc>
      </w:tr>
      <w:tr w:rsidR="00335DED" w:rsidRPr="00936E74" w14:paraId="7670BFD0" w14:textId="77777777" w:rsidTr="00335DED">
        <w:trPr>
          <w:trHeight w:val="765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093165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5.3. Identificación de Peligros, Evaluación y Valoración de Riesgos -IPEVR-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4B8C3E8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FACBF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114.352.285,00 </w:t>
            </w:r>
          </w:p>
        </w:tc>
      </w:tr>
      <w:tr w:rsidR="00335DED" w:rsidRPr="00936E74" w14:paraId="0348E810" w14:textId="77777777" w:rsidTr="00335DED">
        <w:trPr>
          <w:trHeight w:val="300"/>
          <w:jc w:val="center"/>
        </w:trPr>
        <w:tc>
          <w:tcPr>
            <w:tcW w:w="3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7B882B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5.4. Trabajo en Alturas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23D255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Resolución  1409 de 2012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270072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  5.200.000,00 </w:t>
            </w:r>
          </w:p>
        </w:tc>
      </w:tr>
      <w:tr w:rsidR="00335DED" w:rsidRPr="00936E74" w14:paraId="25D85504" w14:textId="77777777" w:rsidTr="00936E74">
        <w:trPr>
          <w:trHeight w:val="300"/>
          <w:jc w:val="center"/>
        </w:trPr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FB6EB4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6 Seguridad vial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D2AE69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Ley 769 de 2002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DB1599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  5.600.000,00 </w:t>
            </w:r>
          </w:p>
        </w:tc>
      </w:tr>
      <w:tr w:rsidR="00335DED" w:rsidRPr="00936E74" w14:paraId="0388F2F0" w14:textId="77777777" w:rsidTr="00936E74">
        <w:trPr>
          <w:trHeight w:val="1785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7424A66" w14:textId="77777777" w:rsidR="00335DED" w:rsidRPr="00936E74" w:rsidRDefault="00335DED" w:rsidP="00335DE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lastRenderedPageBreak/>
              <w:t xml:space="preserve">7 Gestión del riesgo psicosocial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52D23FD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Articulo 2.2.4.6.23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Ley 1010 de 2006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2646 de 2008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652 de 2012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1356 de 2012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E31427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  4.200.000,00 </w:t>
            </w:r>
          </w:p>
        </w:tc>
      </w:tr>
      <w:tr w:rsidR="00196E46" w:rsidRPr="00936E74" w14:paraId="7CCBE82E" w14:textId="77777777" w:rsidTr="00AE45F8">
        <w:trPr>
          <w:trHeight w:val="1020"/>
          <w:jc w:val="center"/>
        </w:trPr>
        <w:tc>
          <w:tcPr>
            <w:tcW w:w="89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10142C" w14:textId="77777777" w:rsidR="00196E46" w:rsidRPr="00936E74" w:rsidRDefault="00196E46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8 Videoconferencias socialización y seguimiento al desempeño del SGSST en centros de trabajo</w:t>
            </w:r>
          </w:p>
          <w:p w14:paraId="2269D1AC" w14:textId="509D7EA3" w:rsidR="00196E46" w:rsidRPr="00936E74" w:rsidRDefault="00196E46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Decreto 1072 de 2015</w:t>
            </w: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br/>
              <w:t>Resolución 312 de 2019</w:t>
            </w:r>
          </w:p>
          <w:p w14:paraId="56CC75B1" w14:textId="758C4CC3" w:rsidR="00196E46" w:rsidRPr="00936E74" w:rsidRDefault="00196E46" w:rsidP="00335DE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$                                    -   </w:t>
            </w:r>
          </w:p>
        </w:tc>
      </w:tr>
      <w:tr w:rsidR="00335DED" w:rsidRPr="00936E74" w14:paraId="04BE345E" w14:textId="77777777" w:rsidTr="00936E74">
        <w:trPr>
          <w:gridAfter w:val="3"/>
          <w:wAfter w:w="6300" w:type="dxa"/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7DE" w14:textId="77777777" w:rsidR="00335DED" w:rsidRPr="00936E74" w:rsidRDefault="00335DED" w:rsidP="00335D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36E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$                        514.352.285,00 </w:t>
            </w:r>
          </w:p>
        </w:tc>
      </w:tr>
    </w:tbl>
    <w:p w14:paraId="6237D961" w14:textId="36227CB6" w:rsidR="00335DED" w:rsidRPr="00205408" w:rsidRDefault="00335DED" w:rsidP="00A535E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36E74">
        <w:rPr>
          <w:rFonts w:ascii="Arial Narrow" w:hAnsi="Arial Narrow"/>
          <w:sz w:val="20"/>
          <w:szCs w:val="20"/>
          <w:lang w:eastAsia="es-CO"/>
        </w:rPr>
        <w:fldChar w:fldCharType="end"/>
      </w:r>
      <w:r w:rsidR="00DE629E" w:rsidRPr="00205408">
        <w:rPr>
          <w:rFonts w:ascii="Arial Narrow" w:hAnsi="Arial Narrow"/>
          <w:sz w:val="24"/>
          <w:szCs w:val="24"/>
          <w:lang w:eastAsia="es-CO"/>
        </w:rPr>
        <w:fldChar w:fldCharType="begin"/>
      </w:r>
      <w:r w:rsidR="00DE629E" w:rsidRPr="00205408">
        <w:rPr>
          <w:rFonts w:ascii="Arial Narrow" w:hAnsi="Arial Narrow"/>
          <w:sz w:val="24"/>
          <w:szCs w:val="24"/>
          <w:lang w:eastAsia="es-CO"/>
        </w:rPr>
        <w:instrText xml:space="preserve"> LINK </w:instrText>
      </w:r>
      <w:r w:rsidRPr="00205408">
        <w:rPr>
          <w:rFonts w:ascii="Arial Narrow" w:hAnsi="Arial Narrow"/>
          <w:sz w:val="24"/>
          <w:szCs w:val="24"/>
          <w:lang w:eastAsia="es-CO"/>
        </w:rPr>
        <w:instrText xml:space="preserve">Excel.Sheet.12 Libro1 Hoja1!F65C1:F72C4 </w:instrText>
      </w:r>
      <w:r w:rsidR="00DE629E" w:rsidRPr="00205408">
        <w:rPr>
          <w:rFonts w:ascii="Arial Narrow" w:hAnsi="Arial Narrow"/>
          <w:sz w:val="24"/>
          <w:szCs w:val="24"/>
          <w:lang w:eastAsia="es-CO"/>
        </w:rPr>
        <w:instrText xml:space="preserve">\a \f 4 \h </w:instrText>
      </w:r>
      <w:r w:rsidR="00205408" w:rsidRPr="00205408">
        <w:rPr>
          <w:rFonts w:ascii="Arial Narrow" w:hAnsi="Arial Narrow"/>
          <w:sz w:val="24"/>
          <w:szCs w:val="24"/>
          <w:lang w:eastAsia="es-CO"/>
        </w:rPr>
        <w:instrText xml:space="preserve"> \* MERGEFORMAT </w:instrText>
      </w:r>
      <w:r w:rsidR="00DE629E" w:rsidRPr="00205408">
        <w:rPr>
          <w:rFonts w:ascii="Arial Narrow" w:hAnsi="Arial Narrow"/>
          <w:sz w:val="24"/>
          <w:szCs w:val="24"/>
          <w:lang w:eastAsia="es-CO"/>
        </w:rPr>
        <w:fldChar w:fldCharType="separate"/>
      </w:r>
    </w:p>
    <w:p w14:paraId="7E41FC7C" w14:textId="54C0D923" w:rsidR="00335DED" w:rsidRPr="00205408" w:rsidRDefault="00DE629E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fldChar w:fldCharType="end"/>
      </w:r>
      <w:r w:rsidR="00196E46" w:rsidRPr="00205408">
        <w:rPr>
          <w:rFonts w:ascii="Arial Narrow" w:hAnsi="Arial Narrow"/>
          <w:sz w:val="24"/>
          <w:szCs w:val="24"/>
          <w:lang w:eastAsia="es-CO"/>
        </w:rPr>
        <w:t xml:space="preserve">El total del presupuesto asignado es de </w:t>
      </w:r>
      <w:r w:rsidR="00205408" w:rsidRPr="00205408">
        <w:rPr>
          <w:rFonts w:ascii="Arial Narrow" w:hAnsi="Arial Narrow"/>
          <w:b/>
          <w:sz w:val="24"/>
          <w:szCs w:val="24"/>
          <w:lang w:eastAsia="es-CO"/>
        </w:rPr>
        <w:t xml:space="preserve">$ </w:t>
      </w:r>
      <w:r w:rsidR="00196E46" w:rsidRPr="00205408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es-CO"/>
        </w:rPr>
        <w:t xml:space="preserve">514.352.285,00 </w:t>
      </w:r>
      <w:r w:rsidRPr="00205408">
        <w:rPr>
          <w:rFonts w:ascii="Arial Narrow" w:hAnsi="Arial Narrow"/>
          <w:sz w:val="24"/>
          <w:szCs w:val="24"/>
          <w:lang w:eastAsia="es-CO"/>
        </w:rPr>
        <w:fldChar w:fldCharType="begin"/>
      </w:r>
      <w:r w:rsidRPr="00205408">
        <w:rPr>
          <w:rFonts w:ascii="Arial Narrow" w:hAnsi="Arial Narrow"/>
          <w:sz w:val="24"/>
          <w:szCs w:val="24"/>
          <w:lang w:eastAsia="es-CO"/>
        </w:rPr>
        <w:instrText xml:space="preserve"> LINK </w:instrText>
      </w:r>
      <w:r w:rsidR="00335DED" w:rsidRPr="00205408">
        <w:rPr>
          <w:rFonts w:ascii="Arial Narrow" w:hAnsi="Arial Narrow"/>
          <w:sz w:val="24"/>
          <w:szCs w:val="24"/>
          <w:lang w:eastAsia="es-CO"/>
        </w:rPr>
        <w:instrText xml:space="preserve">Excel.Sheet.12 Libro1 Hoja1!F79C1:F83C4 </w:instrText>
      </w:r>
      <w:r w:rsidRPr="00205408">
        <w:rPr>
          <w:rFonts w:ascii="Arial Narrow" w:hAnsi="Arial Narrow"/>
          <w:sz w:val="24"/>
          <w:szCs w:val="24"/>
          <w:lang w:eastAsia="es-CO"/>
        </w:rPr>
        <w:instrText xml:space="preserve">\a \f 4 \h </w:instrText>
      </w:r>
      <w:r w:rsidR="00205408" w:rsidRPr="00205408">
        <w:rPr>
          <w:rFonts w:ascii="Arial Narrow" w:hAnsi="Arial Narrow"/>
          <w:sz w:val="24"/>
          <w:szCs w:val="24"/>
          <w:lang w:eastAsia="es-CO"/>
        </w:rPr>
        <w:instrText xml:space="preserve"> \* MERGEFORMAT </w:instrText>
      </w:r>
      <w:r w:rsidRPr="00205408">
        <w:rPr>
          <w:rFonts w:ascii="Arial Narrow" w:hAnsi="Arial Narrow"/>
          <w:sz w:val="24"/>
          <w:szCs w:val="24"/>
          <w:lang w:eastAsia="es-CO"/>
        </w:rPr>
        <w:fldChar w:fldCharType="separate"/>
      </w:r>
    </w:p>
    <w:p w14:paraId="218C0DE5" w14:textId="0556F427" w:rsidR="00982FBC" w:rsidRPr="00205408" w:rsidRDefault="00DE629E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fldChar w:fldCharType="end"/>
      </w:r>
    </w:p>
    <w:p w14:paraId="3C8606D9" w14:textId="77777777" w:rsidR="00996B4B" w:rsidRPr="00205408" w:rsidRDefault="00996B4B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b/>
          <w:sz w:val="24"/>
          <w:szCs w:val="24"/>
          <w:lang w:eastAsia="es-CO"/>
        </w:rPr>
        <w:t>GRONOGRAMA</w:t>
      </w:r>
    </w:p>
    <w:p w14:paraId="29CE022E" w14:textId="77777777" w:rsidR="00996B4B" w:rsidRPr="00205408" w:rsidRDefault="00996B4B" w:rsidP="00A535E4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14:paraId="67D1DEBA" w14:textId="1B942471" w:rsidR="00982FBC" w:rsidRPr="00205408" w:rsidRDefault="00996B4B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  <w:r w:rsidRPr="00205408">
        <w:rPr>
          <w:rFonts w:ascii="Arial Narrow" w:eastAsia="Times New Roman" w:hAnsi="Arial Narrow" w:cs="Arial"/>
          <w:sz w:val="24"/>
          <w:szCs w:val="24"/>
          <w:lang w:eastAsia="es-CO"/>
        </w:rPr>
        <w:t xml:space="preserve">Anexo Nº 1.  </w:t>
      </w:r>
    </w:p>
    <w:p w14:paraId="3C5E65F3" w14:textId="77777777" w:rsidR="00982FBC" w:rsidRPr="00205408" w:rsidRDefault="00982FBC" w:rsidP="00A535E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CO"/>
        </w:rPr>
      </w:pPr>
    </w:p>
    <w:p w14:paraId="021E238A" w14:textId="77777777" w:rsidR="00B15F19" w:rsidRPr="00205408" w:rsidRDefault="00B15F19" w:rsidP="00B15F19">
      <w:pPr>
        <w:pStyle w:val="Prrafodelista"/>
        <w:numPr>
          <w:ilvl w:val="0"/>
          <w:numId w:val="3"/>
        </w:numPr>
        <w:rPr>
          <w:rFonts w:ascii="Arial Narrow" w:hAnsi="Arial Narrow" w:cs="Arial"/>
          <w:b/>
          <w:sz w:val="24"/>
          <w:szCs w:val="24"/>
        </w:rPr>
      </w:pPr>
      <w:r w:rsidRPr="00205408">
        <w:rPr>
          <w:rFonts w:ascii="Arial Narrow" w:hAnsi="Arial Narrow" w:cs="Arial"/>
          <w:b/>
          <w:sz w:val="24"/>
          <w:szCs w:val="24"/>
        </w:rPr>
        <w:t>HISTORIAL DE CAMBIOS</w:t>
      </w:r>
    </w:p>
    <w:p w14:paraId="59460487" w14:textId="77777777" w:rsidR="00B15F19" w:rsidRPr="00205408" w:rsidRDefault="00B15F19" w:rsidP="00B15F19">
      <w:pPr>
        <w:pStyle w:val="Prrafodelista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1842"/>
        <w:gridCol w:w="5686"/>
      </w:tblGrid>
      <w:tr w:rsidR="00B15F19" w:rsidRPr="00205408" w14:paraId="0604AF9B" w14:textId="77777777" w:rsidTr="00C83C12">
        <w:trPr>
          <w:jc w:val="center"/>
        </w:trPr>
        <w:tc>
          <w:tcPr>
            <w:tcW w:w="843" w:type="pct"/>
            <w:vAlign w:val="center"/>
          </w:tcPr>
          <w:p w14:paraId="6E288D01" w14:textId="77777777" w:rsidR="00B15F19" w:rsidRPr="00205408" w:rsidRDefault="00E36547" w:rsidP="00C83C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1017" w:type="pct"/>
            <w:vAlign w:val="center"/>
          </w:tcPr>
          <w:p w14:paraId="24B647AA" w14:textId="77777777" w:rsidR="00B15F19" w:rsidRPr="00205408" w:rsidRDefault="00B15F19" w:rsidP="00C83C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Fecha</w:t>
            </w:r>
          </w:p>
        </w:tc>
        <w:tc>
          <w:tcPr>
            <w:tcW w:w="3140" w:type="pct"/>
            <w:vAlign w:val="center"/>
          </w:tcPr>
          <w:p w14:paraId="7FE81899" w14:textId="77777777" w:rsidR="00B15F19" w:rsidRPr="00205408" w:rsidRDefault="00B15F19" w:rsidP="00C83C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b/>
                <w:bCs/>
                <w:sz w:val="24"/>
                <w:szCs w:val="24"/>
                <w:lang w:val="es-CO"/>
              </w:rPr>
              <w:t>Descripción</w:t>
            </w:r>
          </w:p>
        </w:tc>
      </w:tr>
      <w:tr w:rsidR="00B15F19" w:rsidRPr="00205408" w14:paraId="49601C48" w14:textId="77777777" w:rsidTr="00C83C12">
        <w:trPr>
          <w:jc w:val="center"/>
        </w:trPr>
        <w:tc>
          <w:tcPr>
            <w:tcW w:w="843" w:type="pct"/>
            <w:vAlign w:val="center"/>
          </w:tcPr>
          <w:p w14:paraId="7CD170E5" w14:textId="77777777" w:rsidR="00B15F19" w:rsidRPr="00205408" w:rsidRDefault="00B15F19" w:rsidP="00C83C12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01</w:t>
            </w:r>
          </w:p>
        </w:tc>
        <w:tc>
          <w:tcPr>
            <w:tcW w:w="1017" w:type="pct"/>
            <w:vAlign w:val="center"/>
          </w:tcPr>
          <w:p w14:paraId="09E50C1D" w14:textId="77777777" w:rsidR="00B15F19" w:rsidRPr="00205408" w:rsidRDefault="00E36547" w:rsidP="00C83C12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30/01/2019</w:t>
            </w:r>
          </w:p>
        </w:tc>
        <w:tc>
          <w:tcPr>
            <w:tcW w:w="3140" w:type="pct"/>
          </w:tcPr>
          <w:p w14:paraId="330E5F05" w14:textId="77777777" w:rsidR="00B15F19" w:rsidRPr="00205408" w:rsidRDefault="00B15F19" w:rsidP="00C83C12">
            <w:pPr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Creación del documento</w:t>
            </w:r>
          </w:p>
        </w:tc>
      </w:tr>
      <w:tr w:rsidR="00205408" w:rsidRPr="00205408" w14:paraId="2853BE82" w14:textId="77777777" w:rsidTr="00205408">
        <w:tblPrEx>
          <w:jc w:val="left"/>
        </w:tblPrEx>
        <w:tc>
          <w:tcPr>
            <w:tcW w:w="843" w:type="pct"/>
          </w:tcPr>
          <w:p w14:paraId="18C5384C" w14:textId="4FC125F5" w:rsidR="00205408" w:rsidRPr="00205408" w:rsidRDefault="00205408" w:rsidP="002A75E9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02</w:t>
            </w:r>
          </w:p>
        </w:tc>
        <w:tc>
          <w:tcPr>
            <w:tcW w:w="1017" w:type="pct"/>
          </w:tcPr>
          <w:p w14:paraId="610D6B69" w14:textId="254F3EB8" w:rsidR="00205408" w:rsidRPr="00205408" w:rsidRDefault="00205408" w:rsidP="002A75E9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24/01/2019</w:t>
            </w:r>
          </w:p>
        </w:tc>
        <w:tc>
          <w:tcPr>
            <w:tcW w:w="3140" w:type="pct"/>
          </w:tcPr>
          <w:p w14:paraId="5ADE9700" w14:textId="70DA62BB" w:rsidR="00205408" w:rsidRPr="00205408" w:rsidRDefault="00205408" w:rsidP="002A75E9">
            <w:pPr>
              <w:jc w:val="center"/>
              <w:rPr>
                <w:rFonts w:ascii="Arial Narrow" w:hAnsi="Arial Narrow" w:cs="Arial"/>
                <w:sz w:val="24"/>
                <w:szCs w:val="24"/>
                <w:lang w:val="es-CO"/>
              </w:rPr>
            </w:pPr>
            <w:r w:rsidRPr="00205408">
              <w:rPr>
                <w:rFonts w:ascii="Arial Narrow" w:hAnsi="Arial Narrow" w:cs="Arial"/>
                <w:sz w:val="24"/>
                <w:szCs w:val="24"/>
                <w:lang w:val="es-CO"/>
              </w:rPr>
              <w:t>Actualización del documento</w:t>
            </w:r>
          </w:p>
        </w:tc>
      </w:tr>
    </w:tbl>
    <w:p w14:paraId="0729CB5A" w14:textId="77777777" w:rsidR="00B15F19" w:rsidRPr="00205408" w:rsidRDefault="00B15F19" w:rsidP="00B15F19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2949"/>
        <w:gridCol w:w="2972"/>
      </w:tblGrid>
      <w:tr w:rsidR="00B15F19" w:rsidRPr="00205408" w14:paraId="4B0936E3" w14:textId="77777777" w:rsidTr="00C83C12">
        <w:trPr>
          <w:jc w:val="center"/>
        </w:trPr>
        <w:tc>
          <w:tcPr>
            <w:tcW w:w="3138" w:type="dxa"/>
          </w:tcPr>
          <w:p w14:paraId="696B0353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>Elaboró</w:t>
            </w:r>
          </w:p>
          <w:p w14:paraId="496B79DE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</w:p>
          <w:p w14:paraId="2737AE29" w14:textId="77D1C5EB" w:rsidR="00205408" w:rsidRPr="00205408" w:rsidRDefault="00205408" w:rsidP="00C83C12">
            <w:pPr>
              <w:pStyle w:val="Sinespaciad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 xml:space="preserve">Jhon Fredy Medina </w:t>
            </w:r>
          </w:p>
          <w:p w14:paraId="18928E02" w14:textId="45A2C2E1" w:rsidR="00B15F19" w:rsidRPr="00205408" w:rsidRDefault="00205408" w:rsidP="00C83C12">
            <w:pPr>
              <w:pStyle w:val="Sinespaciad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sz w:val="16"/>
                <w:szCs w:val="16"/>
                <w:lang w:val="es-CO"/>
              </w:rPr>
              <w:t>Contra</w:t>
            </w:r>
            <w:r w:rsidR="00B15F19" w:rsidRPr="00205408">
              <w:rPr>
                <w:rFonts w:ascii="Arial Narrow" w:eastAsia="Arial" w:hAnsi="Arial Narrow" w:cs="Arial"/>
                <w:sz w:val="16"/>
                <w:szCs w:val="16"/>
                <w:lang w:val="es-CO"/>
              </w:rPr>
              <w:t>Grupo de Administración y Desarrollo del Talento Humano</w:t>
            </w:r>
          </w:p>
        </w:tc>
        <w:tc>
          <w:tcPr>
            <w:tcW w:w="2953" w:type="dxa"/>
          </w:tcPr>
          <w:p w14:paraId="495E93E1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>Revisó</w:t>
            </w:r>
          </w:p>
          <w:p w14:paraId="4C5BFE92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</w:p>
          <w:p w14:paraId="00420D18" w14:textId="77777777" w:rsidR="00B15F19" w:rsidRPr="00205408" w:rsidRDefault="00B15F19" w:rsidP="00C83C12">
            <w:pPr>
              <w:pStyle w:val="Sinespaciad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>Dora Lucía Molina Solanilla</w:t>
            </w:r>
          </w:p>
          <w:p w14:paraId="00FD1456" w14:textId="77777777" w:rsidR="00B15F19" w:rsidRPr="00205408" w:rsidRDefault="00B15F19" w:rsidP="00C83C12">
            <w:pPr>
              <w:pStyle w:val="Sinespaciad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sz w:val="16"/>
                <w:szCs w:val="16"/>
                <w:lang w:val="es-CO"/>
              </w:rPr>
              <w:t>Coordinadora Grupo de Administración y Desarrollo del Talento Humano</w:t>
            </w:r>
          </w:p>
        </w:tc>
        <w:tc>
          <w:tcPr>
            <w:tcW w:w="2976" w:type="dxa"/>
          </w:tcPr>
          <w:p w14:paraId="0801C6B8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>Aprobó</w:t>
            </w:r>
          </w:p>
          <w:p w14:paraId="4731276B" w14:textId="77777777" w:rsidR="00B15F19" w:rsidRPr="00205408" w:rsidRDefault="00B15F19" w:rsidP="00C83C12">
            <w:pPr>
              <w:tabs>
                <w:tab w:val="left" w:pos="1410"/>
              </w:tabs>
              <w:spacing w:line="360" w:lineRule="aut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</w:p>
          <w:p w14:paraId="43C2173A" w14:textId="77777777" w:rsidR="00B15F19" w:rsidRPr="00205408" w:rsidRDefault="00B15F19" w:rsidP="00C83C12">
            <w:pPr>
              <w:pStyle w:val="Sinespaciado"/>
              <w:jc w:val="center"/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b/>
                <w:sz w:val="16"/>
                <w:szCs w:val="16"/>
                <w:lang w:val="es-CO"/>
              </w:rPr>
              <w:t>Dora Lucía Molina Solanilla</w:t>
            </w:r>
          </w:p>
          <w:p w14:paraId="0801E05E" w14:textId="77777777" w:rsidR="00B15F19" w:rsidRPr="00205408" w:rsidRDefault="00B15F19" w:rsidP="00C83C12">
            <w:pPr>
              <w:pStyle w:val="Sinespaciado"/>
              <w:jc w:val="center"/>
              <w:rPr>
                <w:rFonts w:ascii="Arial Narrow" w:eastAsia="Arial" w:hAnsi="Arial Narrow" w:cs="Arial"/>
                <w:sz w:val="16"/>
                <w:szCs w:val="16"/>
                <w:lang w:val="es-CO"/>
              </w:rPr>
            </w:pPr>
            <w:r w:rsidRPr="00205408">
              <w:rPr>
                <w:rFonts w:ascii="Arial Narrow" w:eastAsia="Arial" w:hAnsi="Arial Narrow" w:cs="Arial"/>
                <w:sz w:val="16"/>
                <w:szCs w:val="16"/>
                <w:lang w:val="es-CO"/>
              </w:rPr>
              <w:t>Coordinadora Grupo de Administración y Desarrollo del Talento Humano</w:t>
            </w:r>
          </w:p>
        </w:tc>
      </w:tr>
    </w:tbl>
    <w:p w14:paraId="70D09225" w14:textId="77777777" w:rsidR="00B15F19" w:rsidRPr="00205408" w:rsidRDefault="00B15F19" w:rsidP="00B15F19">
      <w:pPr>
        <w:tabs>
          <w:tab w:val="left" w:pos="6690"/>
        </w:tabs>
        <w:spacing w:line="360" w:lineRule="auto"/>
        <w:ind w:left="360"/>
        <w:jc w:val="both"/>
        <w:rPr>
          <w:rFonts w:ascii="Arial Narrow" w:eastAsia="Arial" w:hAnsi="Arial Narrow" w:cs="Arial"/>
          <w:sz w:val="24"/>
          <w:szCs w:val="24"/>
        </w:rPr>
      </w:pPr>
      <w:r w:rsidRPr="00205408">
        <w:rPr>
          <w:rFonts w:ascii="Arial Narrow" w:eastAsia="Arial" w:hAnsi="Arial Narrow" w:cs="Arial"/>
          <w:sz w:val="24"/>
          <w:szCs w:val="24"/>
        </w:rPr>
        <w:tab/>
      </w:r>
    </w:p>
    <w:p w14:paraId="0C837F9E" w14:textId="77777777" w:rsidR="007B5FFB" w:rsidRPr="00205408" w:rsidRDefault="007B5FFB" w:rsidP="007B5FFB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es-CO"/>
        </w:rPr>
      </w:pPr>
    </w:p>
    <w:sectPr w:rsidR="007B5FFB" w:rsidRPr="00205408" w:rsidSect="002B4156">
      <w:pgSz w:w="12240" w:h="15840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C409A" w14:textId="77777777" w:rsidR="004A07F0" w:rsidRDefault="004A07F0" w:rsidP="00332FDD">
      <w:pPr>
        <w:spacing w:after="0" w:line="240" w:lineRule="auto"/>
      </w:pPr>
      <w:r>
        <w:separator/>
      </w:r>
    </w:p>
  </w:endnote>
  <w:endnote w:type="continuationSeparator" w:id="0">
    <w:p w14:paraId="52009853" w14:textId="77777777" w:rsidR="004A07F0" w:rsidRDefault="004A07F0" w:rsidP="0033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41BC" w14:textId="7D12CF87" w:rsidR="004D26B2" w:rsidRDefault="004D26B2" w:rsidP="009613F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9EAABAC" wp14:editId="1A49021C">
          <wp:simplePos x="0" y="0"/>
          <wp:positionH relativeFrom="column">
            <wp:posOffset>-880110</wp:posOffset>
          </wp:positionH>
          <wp:positionV relativeFrom="paragraph">
            <wp:posOffset>-38100</wp:posOffset>
          </wp:positionV>
          <wp:extent cx="6669405" cy="746760"/>
          <wp:effectExtent l="0" t="0" r="0" b="0"/>
          <wp:wrapSquare wrapText="bothSides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Imagen 16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89"/>
                  <a:stretch/>
                </pic:blipFill>
                <pic:spPr bwMode="auto">
                  <a:xfrm>
                    <a:off x="0" y="0"/>
                    <a:ext cx="6669405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AD004A9" w14:textId="2F3E1E07" w:rsidR="004D26B2" w:rsidRDefault="004D2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26A3" w14:textId="77777777" w:rsidR="004A07F0" w:rsidRDefault="004A07F0" w:rsidP="00332FDD">
      <w:pPr>
        <w:spacing w:after="0" w:line="240" w:lineRule="auto"/>
      </w:pPr>
      <w:r>
        <w:separator/>
      </w:r>
    </w:p>
  </w:footnote>
  <w:footnote w:type="continuationSeparator" w:id="0">
    <w:p w14:paraId="2F4E18B1" w14:textId="77777777" w:rsidR="004A07F0" w:rsidRDefault="004A07F0" w:rsidP="0033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0"/>
      <w:gridCol w:w="4406"/>
      <w:gridCol w:w="2568"/>
    </w:tblGrid>
    <w:tr w:rsidR="004D26B2" w:rsidRPr="00900354" w14:paraId="504433FD" w14:textId="77777777" w:rsidTr="00332FDD">
      <w:trPr>
        <w:trHeight w:val="274"/>
      </w:trPr>
      <w:tc>
        <w:tcPr>
          <w:tcW w:w="1064" w:type="pct"/>
          <w:vMerge w:val="restart"/>
          <w:shd w:val="clear" w:color="auto" w:fill="auto"/>
          <w:noWrap/>
          <w:vAlign w:val="center"/>
          <w:hideMark/>
        </w:tcPr>
        <w:p w14:paraId="4892E598" w14:textId="77777777" w:rsidR="004D26B2" w:rsidRDefault="004D26B2" w:rsidP="00B5697F">
          <w:pPr>
            <w:jc w:val="center"/>
            <w:rPr>
              <w:rFonts w:ascii="Arial" w:hAnsi="Arial" w:cs="Arial"/>
            </w:rPr>
          </w:pPr>
          <w:r w:rsidRPr="004F259D">
            <w:rPr>
              <w:noProof/>
              <w:sz w:val="12"/>
              <w:szCs w:val="1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323C2764" wp14:editId="48C00630">
                <wp:simplePos x="0" y="0"/>
                <wp:positionH relativeFrom="page">
                  <wp:posOffset>-996315</wp:posOffset>
                </wp:positionH>
                <wp:positionV relativeFrom="paragraph">
                  <wp:posOffset>-424815</wp:posOffset>
                </wp:positionV>
                <wp:extent cx="7684770" cy="994473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LANTILLA _Mesa de trabajo 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4770" cy="994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8"/>
              <w:szCs w:val="18"/>
              <w:lang w:val="es-MX" w:eastAsia="es-MX"/>
            </w:rPr>
            <w:drawing>
              <wp:inline distT="0" distB="0" distL="0" distR="0" wp14:anchorId="09BA37A2" wp14:editId="47F4ED4F">
                <wp:extent cx="1123950" cy="5905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Merge w:val="restart"/>
          <w:shd w:val="clear" w:color="auto" w:fill="auto"/>
          <w:vAlign w:val="center"/>
          <w:hideMark/>
        </w:tcPr>
        <w:p w14:paraId="467EE504" w14:textId="77777777" w:rsidR="004D26B2" w:rsidRPr="00900354" w:rsidRDefault="004D26B2" w:rsidP="00332FDD">
          <w:pPr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/>
              <w:b/>
            </w:rPr>
            <w:t>PLAN DE TRABAJO ANUAL EN SEGURIDAD Y SALUD EN EL TRABAJO</w:t>
          </w:r>
        </w:p>
      </w:tc>
      <w:tc>
        <w:tcPr>
          <w:tcW w:w="1430" w:type="pct"/>
          <w:shd w:val="clear" w:color="auto" w:fill="auto"/>
          <w:noWrap/>
          <w:vAlign w:val="center"/>
          <w:hideMark/>
        </w:tcPr>
        <w:p w14:paraId="0D249A68" w14:textId="77777777" w:rsidR="004D26B2" w:rsidRPr="009421A5" w:rsidRDefault="004D26B2" w:rsidP="00B5697F">
          <w:pPr>
            <w:rPr>
              <w:rFonts w:ascii="Arial Narrow" w:hAnsi="Arial Narrow" w:cs="Arial"/>
            </w:rPr>
          </w:pPr>
          <w:r w:rsidRPr="009421A5">
            <w:rPr>
              <w:rFonts w:ascii="Arial Narrow" w:hAnsi="Arial Narrow" w:cs="Arial"/>
            </w:rPr>
            <w:t xml:space="preserve">Código: </w:t>
          </w:r>
          <w:r>
            <w:rPr>
              <w:rFonts w:ascii="Arial Narrow" w:hAnsi="Arial Narrow" w:cs="Arial"/>
            </w:rPr>
            <w:t>A-GH-M</w:t>
          </w:r>
          <w:r w:rsidRPr="009421A5">
            <w:rPr>
              <w:rFonts w:ascii="Arial Narrow" w:hAnsi="Arial Narrow" w:cs="Arial"/>
            </w:rPr>
            <w:t>001</w:t>
          </w:r>
        </w:p>
      </w:tc>
    </w:tr>
    <w:tr w:rsidR="004D26B2" w:rsidRPr="00900354" w14:paraId="522EA2DD" w14:textId="77777777" w:rsidTr="00332FDD">
      <w:trPr>
        <w:trHeight w:val="281"/>
      </w:trPr>
      <w:tc>
        <w:tcPr>
          <w:tcW w:w="1064" w:type="pct"/>
          <w:vMerge/>
          <w:vAlign w:val="center"/>
          <w:hideMark/>
        </w:tcPr>
        <w:p w14:paraId="638B5131" w14:textId="77777777" w:rsidR="004D26B2" w:rsidRDefault="004D26B2" w:rsidP="00B5697F">
          <w:pPr>
            <w:rPr>
              <w:rFonts w:ascii="Arial" w:hAnsi="Arial" w:cs="Arial"/>
            </w:rPr>
          </w:pPr>
        </w:p>
      </w:tc>
      <w:tc>
        <w:tcPr>
          <w:tcW w:w="2506" w:type="pct"/>
          <w:vMerge/>
          <w:vAlign w:val="center"/>
          <w:hideMark/>
        </w:tcPr>
        <w:p w14:paraId="72B6AE4C" w14:textId="77777777" w:rsidR="004D26B2" w:rsidRPr="00900354" w:rsidRDefault="004D26B2" w:rsidP="00B5697F">
          <w:pPr>
            <w:rPr>
              <w:rFonts w:ascii="Arial Narrow" w:hAnsi="Arial Narrow" w:cs="Arial"/>
              <w:b/>
              <w:bCs/>
            </w:rPr>
          </w:pPr>
        </w:p>
      </w:tc>
      <w:tc>
        <w:tcPr>
          <w:tcW w:w="1430" w:type="pct"/>
          <w:shd w:val="clear" w:color="auto" w:fill="auto"/>
          <w:noWrap/>
          <w:vAlign w:val="center"/>
          <w:hideMark/>
        </w:tcPr>
        <w:p w14:paraId="65499038" w14:textId="07D598F5" w:rsidR="004D26B2" w:rsidRPr="009421A5" w:rsidRDefault="00205408" w:rsidP="00B5697F">
          <w:pPr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Versión: 02</w:t>
          </w:r>
        </w:p>
      </w:tc>
    </w:tr>
    <w:tr w:rsidR="004D26B2" w:rsidRPr="00900354" w14:paraId="44123CB2" w14:textId="77777777" w:rsidTr="00332FDD">
      <w:trPr>
        <w:trHeight w:val="270"/>
      </w:trPr>
      <w:tc>
        <w:tcPr>
          <w:tcW w:w="1064" w:type="pct"/>
          <w:vMerge/>
          <w:vAlign w:val="center"/>
          <w:hideMark/>
        </w:tcPr>
        <w:p w14:paraId="622ACF0D" w14:textId="77777777" w:rsidR="004D26B2" w:rsidRDefault="004D26B2" w:rsidP="00B5697F">
          <w:pPr>
            <w:rPr>
              <w:rFonts w:ascii="Arial" w:hAnsi="Arial" w:cs="Arial"/>
            </w:rPr>
          </w:pPr>
        </w:p>
      </w:tc>
      <w:tc>
        <w:tcPr>
          <w:tcW w:w="2506" w:type="pct"/>
          <w:vMerge/>
          <w:shd w:val="clear" w:color="auto" w:fill="auto"/>
          <w:vAlign w:val="center"/>
          <w:hideMark/>
        </w:tcPr>
        <w:p w14:paraId="1F560C9A" w14:textId="77777777" w:rsidR="004D26B2" w:rsidRPr="00900354" w:rsidRDefault="004D26B2" w:rsidP="00B5697F">
          <w:pPr>
            <w:rPr>
              <w:rFonts w:ascii="Arial Narrow" w:hAnsi="Arial Narrow" w:cs="Arial"/>
              <w:b/>
              <w:bCs/>
              <w:color w:val="000000"/>
            </w:rPr>
          </w:pPr>
        </w:p>
      </w:tc>
      <w:tc>
        <w:tcPr>
          <w:tcW w:w="1430" w:type="pct"/>
          <w:shd w:val="clear" w:color="auto" w:fill="auto"/>
          <w:noWrap/>
          <w:vAlign w:val="center"/>
          <w:hideMark/>
        </w:tcPr>
        <w:p w14:paraId="432E327B" w14:textId="0F8D7373" w:rsidR="004D26B2" w:rsidRDefault="004D26B2" w:rsidP="00B5697F">
          <w:pPr>
            <w:rPr>
              <w:rFonts w:ascii="Arial Narrow" w:hAnsi="Arial Narrow" w:cs="Arial"/>
            </w:rPr>
          </w:pPr>
          <w:r w:rsidRPr="009421A5">
            <w:rPr>
              <w:rFonts w:ascii="Arial Narrow" w:hAnsi="Arial Narrow" w:cs="Arial"/>
            </w:rPr>
            <w:t>Fecha de emisión:</w:t>
          </w:r>
          <w:r>
            <w:rPr>
              <w:rFonts w:ascii="Arial Narrow" w:hAnsi="Arial Narrow" w:cs="Arial"/>
            </w:rPr>
            <w:t xml:space="preserve"> </w:t>
          </w:r>
          <w:r w:rsidR="00205408">
            <w:rPr>
              <w:rFonts w:ascii="Arial Narrow" w:hAnsi="Arial Narrow" w:cs="Arial"/>
            </w:rPr>
            <w:t>24/01/2020</w:t>
          </w:r>
        </w:p>
        <w:p w14:paraId="5E537DE9" w14:textId="77777777" w:rsidR="004D26B2" w:rsidRPr="009421A5" w:rsidRDefault="004D26B2" w:rsidP="00B5697F">
          <w:pPr>
            <w:rPr>
              <w:rFonts w:ascii="Arial Narrow" w:hAnsi="Arial Narrow" w:cs="Arial"/>
            </w:rPr>
          </w:pPr>
        </w:p>
      </w:tc>
    </w:tr>
    <w:tr w:rsidR="004D26B2" w:rsidRPr="00900354" w14:paraId="52831CD7" w14:textId="77777777" w:rsidTr="00332FDD">
      <w:trPr>
        <w:trHeight w:val="288"/>
      </w:trPr>
      <w:tc>
        <w:tcPr>
          <w:tcW w:w="1064" w:type="pct"/>
          <w:vMerge/>
          <w:vAlign w:val="center"/>
          <w:hideMark/>
        </w:tcPr>
        <w:p w14:paraId="0AAF4578" w14:textId="77777777" w:rsidR="004D26B2" w:rsidRDefault="004D26B2" w:rsidP="00B5697F">
          <w:pPr>
            <w:rPr>
              <w:rFonts w:ascii="Arial" w:hAnsi="Arial" w:cs="Arial"/>
            </w:rPr>
          </w:pPr>
        </w:p>
      </w:tc>
      <w:tc>
        <w:tcPr>
          <w:tcW w:w="2506" w:type="pct"/>
          <w:vMerge/>
          <w:shd w:val="clear" w:color="auto" w:fill="auto"/>
          <w:vAlign w:val="center"/>
          <w:hideMark/>
        </w:tcPr>
        <w:p w14:paraId="0108C70B" w14:textId="77777777" w:rsidR="004D26B2" w:rsidRPr="00900354" w:rsidRDefault="004D26B2" w:rsidP="00B5697F">
          <w:pPr>
            <w:rPr>
              <w:rFonts w:ascii="Arial Narrow" w:hAnsi="Arial Narrow" w:cs="Arial"/>
              <w:b/>
              <w:bCs/>
            </w:rPr>
          </w:pPr>
        </w:p>
      </w:tc>
      <w:tc>
        <w:tcPr>
          <w:tcW w:w="1430" w:type="pct"/>
          <w:shd w:val="clear" w:color="auto" w:fill="auto"/>
          <w:noWrap/>
          <w:vAlign w:val="center"/>
          <w:hideMark/>
        </w:tcPr>
        <w:p w14:paraId="48C8982F" w14:textId="3BBA035A" w:rsidR="004D26B2" w:rsidRPr="009421A5" w:rsidRDefault="004D26B2" w:rsidP="00B5697F">
          <w:pPr>
            <w:rPr>
              <w:rFonts w:ascii="Arial Narrow" w:hAnsi="Arial Narrow" w:cs="Arial"/>
            </w:rPr>
          </w:pPr>
          <w:r w:rsidRPr="009421A5">
            <w:rPr>
              <w:rFonts w:ascii="Arial Narrow" w:hAnsi="Arial Narrow" w:cs="Arial"/>
            </w:rPr>
            <w:t>Página:</w:t>
          </w:r>
          <w:r w:rsidRPr="009421A5">
            <w:rPr>
              <w:rFonts w:ascii="Arial Narrow" w:hAnsi="Arial Narrow"/>
            </w:rPr>
            <w:t xml:space="preserve"> </w:t>
          </w:r>
          <w:r w:rsidRPr="009421A5">
            <w:rPr>
              <w:rFonts w:ascii="Arial Narrow" w:hAnsi="Arial Narrow" w:cs="Arial"/>
            </w:rPr>
            <w:fldChar w:fldCharType="begin"/>
          </w:r>
          <w:r w:rsidRPr="009421A5">
            <w:rPr>
              <w:rFonts w:ascii="Arial Narrow" w:hAnsi="Arial Narrow" w:cs="Arial"/>
            </w:rPr>
            <w:instrText xml:space="preserve"> PAGE </w:instrText>
          </w:r>
          <w:r w:rsidRPr="009421A5">
            <w:rPr>
              <w:rFonts w:ascii="Arial Narrow" w:hAnsi="Arial Narrow" w:cs="Arial"/>
            </w:rPr>
            <w:fldChar w:fldCharType="separate"/>
          </w:r>
          <w:r w:rsidR="00577DC6">
            <w:rPr>
              <w:rFonts w:ascii="Arial Narrow" w:hAnsi="Arial Narrow" w:cs="Arial"/>
              <w:noProof/>
            </w:rPr>
            <w:t>1</w:t>
          </w:r>
          <w:r w:rsidRPr="009421A5">
            <w:rPr>
              <w:rFonts w:ascii="Arial Narrow" w:hAnsi="Arial Narrow" w:cs="Arial"/>
            </w:rPr>
            <w:fldChar w:fldCharType="end"/>
          </w:r>
          <w:r w:rsidRPr="009421A5">
            <w:rPr>
              <w:rFonts w:ascii="Arial Narrow" w:hAnsi="Arial Narrow" w:cs="Arial"/>
            </w:rPr>
            <w:t xml:space="preserve"> de </w:t>
          </w:r>
          <w:r w:rsidRPr="009421A5">
            <w:rPr>
              <w:rFonts w:ascii="Arial Narrow" w:hAnsi="Arial Narrow" w:cs="Arial"/>
            </w:rPr>
            <w:fldChar w:fldCharType="begin"/>
          </w:r>
          <w:r w:rsidRPr="009421A5">
            <w:rPr>
              <w:rFonts w:ascii="Arial Narrow" w:hAnsi="Arial Narrow" w:cs="Arial"/>
            </w:rPr>
            <w:instrText xml:space="preserve"> NUMPAGES  </w:instrText>
          </w:r>
          <w:r w:rsidRPr="009421A5">
            <w:rPr>
              <w:rFonts w:ascii="Arial Narrow" w:hAnsi="Arial Narrow" w:cs="Arial"/>
            </w:rPr>
            <w:fldChar w:fldCharType="separate"/>
          </w:r>
          <w:r w:rsidR="00577DC6">
            <w:rPr>
              <w:rFonts w:ascii="Arial Narrow" w:hAnsi="Arial Narrow" w:cs="Arial"/>
              <w:noProof/>
            </w:rPr>
            <w:t>11</w:t>
          </w:r>
          <w:r w:rsidRPr="009421A5">
            <w:rPr>
              <w:rFonts w:ascii="Arial Narrow" w:hAnsi="Arial Narrow" w:cs="Arial"/>
            </w:rPr>
            <w:fldChar w:fldCharType="end"/>
          </w:r>
        </w:p>
      </w:tc>
    </w:tr>
  </w:tbl>
  <w:p w14:paraId="0AF63A47" w14:textId="77777777" w:rsidR="004D26B2" w:rsidRDefault="004D2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013C0"/>
    <w:multiLevelType w:val="hybridMultilevel"/>
    <w:tmpl w:val="B2EC91B4"/>
    <w:lvl w:ilvl="0" w:tplc="38C2F5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97115"/>
    <w:multiLevelType w:val="hybridMultilevel"/>
    <w:tmpl w:val="0F9C3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46BBB"/>
    <w:multiLevelType w:val="multilevel"/>
    <w:tmpl w:val="311A33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FB"/>
    <w:rsid w:val="00001E73"/>
    <w:rsid w:val="00006191"/>
    <w:rsid w:val="00007E4E"/>
    <w:rsid w:val="000776AF"/>
    <w:rsid w:val="000972F5"/>
    <w:rsid w:val="000A3F2E"/>
    <w:rsid w:val="000B22B6"/>
    <w:rsid w:val="000B3BD1"/>
    <w:rsid w:val="000B670B"/>
    <w:rsid w:val="000C67A1"/>
    <w:rsid w:val="000D33C8"/>
    <w:rsid w:val="00112FF7"/>
    <w:rsid w:val="001842FC"/>
    <w:rsid w:val="0019443C"/>
    <w:rsid w:val="00196E46"/>
    <w:rsid w:val="001973D1"/>
    <w:rsid w:val="001C33A3"/>
    <w:rsid w:val="001D3FE9"/>
    <w:rsid w:val="001E3292"/>
    <w:rsid w:val="00205408"/>
    <w:rsid w:val="002279CB"/>
    <w:rsid w:val="002B4156"/>
    <w:rsid w:val="002D0D40"/>
    <w:rsid w:val="00310DBB"/>
    <w:rsid w:val="00332FDD"/>
    <w:rsid w:val="00335DED"/>
    <w:rsid w:val="00340303"/>
    <w:rsid w:val="003520CD"/>
    <w:rsid w:val="003E3311"/>
    <w:rsid w:val="003F1E72"/>
    <w:rsid w:val="00405291"/>
    <w:rsid w:val="00470E47"/>
    <w:rsid w:val="00481000"/>
    <w:rsid w:val="004A07F0"/>
    <w:rsid w:val="004A50A2"/>
    <w:rsid w:val="004D22BD"/>
    <w:rsid w:val="004D26B2"/>
    <w:rsid w:val="004F259D"/>
    <w:rsid w:val="004F5D17"/>
    <w:rsid w:val="00516E5B"/>
    <w:rsid w:val="0053421C"/>
    <w:rsid w:val="00541500"/>
    <w:rsid w:val="0057787E"/>
    <w:rsid w:val="00577DC6"/>
    <w:rsid w:val="005A578A"/>
    <w:rsid w:val="005D1B03"/>
    <w:rsid w:val="005E3419"/>
    <w:rsid w:val="00624DFB"/>
    <w:rsid w:val="006C3369"/>
    <w:rsid w:val="00725D92"/>
    <w:rsid w:val="0075741A"/>
    <w:rsid w:val="0076636F"/>
    <w:rsid w:val="007741D8"/>
    <w:rsid w:val="00776D9D"/>
    <w:rsid w:val="007B5FFB"/>
    <w:rsid w:val="007D5530"/>
    <w:rsid w:val="007D64B8"/>
    <w:rsid w:val="00845931"/>
    <w:rsid w:val="0084649C"/>
    <w:rsid w:val="0086525B"/>
    <w:rsid w:val="008962D1"/>
    <w:rsid w:val="008A0751"/>
    <w:rsid w:val="008B1B92"/>
    <w:rsid w:val="00936E74"/>
    <w:rsid w:val="009613F6"/>
    <w:rsid w:val="00982FBC"/>
    <w:rsid w:val="00996B4B"/>
    <w:rsid w:val="00A4258F"/>
    <w:rsid w:val="00A535E4"/>
    <w:rsid w:val="00A543E8"/>
    <w:rsid w:val="00A576B2"/>
    <w:rsid w:val="00A62D0A"/>
    <w:rsid w:val="00AA27B1"/>
    <w:rsid w:val="00AB6F7D"/>
    <w:rsid w:val="00AD52F8"/>
    <w:rsid w:val="00AF252C"/>
    <w:rsid w:val="00B15F19"/>
    <w:rsid w:val="00B5697F"/>
    <w:rsid w:val="00BB2ED0"/>
    <w:rsid w:val="00BE17F3"/>
    <w:rsid w:val="00C30BBF"/>
    <w:rsid w:val="00C502F7"/>
    <w:rsid w:val="00C63979"/>
    <w:rsid w:val="00C83C12"/>
    <w:rsid w:val="00CD5267"/>
    <w:rsid w:val="00CE7EF7"/>
    <w:rsid w:val="00CF7F14"/>
    <w:rsid w:val="00D64C23"/>
    <w:rsid w:val="00D843A2"/>
    <w:rsid w:val="00D90CAC"/>
    <w:rsid w:val="00DE629E"/>
    <w:rsid w:val="00E33016"/>
    <w:rsid w:val="00E36547"/>
    <w:rsid w:val="00EA0845"/>
    <w:rsid w:val="00EA1028"/>
    <w:rsid w:val="00EA1FA0"/>
    <w:rsid w:val="00F25F77"/>
    <w:rsid w:val="00F42B25"/>
    <w:rsid w:val="00F6346D"/>
    <w:rsid w:val="00F6716B"/>
    <w:rsid w:val="00F709C3"/>
    <w:rsid w:val="00F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ED87"/>
  <w15:docId w15:val="{5EBF6C51-80C7-40DC-8F65-F20A9AE7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7B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7B5F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5FFB"/>
    <w:rPr>
      <w:color w:val="800080"/>
      <w:u w:val="single"/>
    </w:rPr>
  </w:style>
  <w:style w:type="paragraph" w:customStyle="1" w:styleId="piedepagina">
    <w:name w:val="piedepagina"/>
    <w:basedOn w:val="Normal"/>
    <w:rsid w:val="007B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E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2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FDD"/>
  </w:style>
  <w:style w:type="paragraph" w:styleId="Piedepgina">
    <w:name w:val="footer"/>
    <w:basedOn w:val="Normal"/>
    <w:link w:val="PiedepginaCar"/>
    <w:uiPriority w:val="99"/>
    <w:unhideWhenUsed/>
    <w:rsid w:val="00332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FDD"/>
  </w:style>
  <w:style w:type="paragraph" w:styleId="Prrafodelista">
    <w:name w:val="List Paragraph"/>
    <w:aliases w:val="Bullet List,FooterText,numbered,Paragraphe de liste1,lp1,HOJA,Bolita,Párrafo de lista4,BOLADEF,Párrafo de lista21,BOLA,Nivel 1 OS,Colorful List Accent 1,Colorful List - Accent 11,Bullets,Lista multicolor - Énfasis 11,titulo 3,Foot,列出段落"/>
    <w:basedOn w:val="Normal"/>
    <w:link w:val="PrrafodelistaCar"/>
    <w:uiPriority w:val="34"/>
    <w:qFormat/>
    <w:rsid w:val="00332FDD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Paragraphe de liste1 Car,lp1 Car,HOJA Car,Bolita Car,Párrafo de lista4 Car,BOLADEF Car,Párrafo de lista21 Car,BOLA Car,Nivel 1 OS Car,Colorful List Accent 1 Car,Bullets Car,titulo 3 Car"/>
    <w:link w:val="Prrafodelista"/>
    <w:uiPriority w:val="34"/>
    <w:qFormat/>
    <w:locked/>
    <w:rsid w:val="00B15F19"/>
  </w:style>
  <w:style w:type="paragraph" w:styleId="Sinespaciado">
    <w:name w:val="No Spacing"/>
    <w:link w:val="SinespaciadoCar"/>
    <w:uiPriority w:val="1"/>
    <w:qFormat/>
    <w:rsid w:val="00B15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B15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B15F1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Sombreadoclaro">
    <w:name w:val="Light Shading"/>
    <w:basedOn w:val="Tablanormal"/>
    <w:uiPriority w:val="60"/>
    <w:rsid w:val="00E365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E3654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Ttulo">
    <w:name w:val="Title"/>
    <w:basedOn w:val="Normal"/>
    <w:link w:val="TtuloCar"/>
    <w:uiPriority w:val="10"/>
    <w:qFormat/>
    <w:rsid w:val="000A3F2E"/>
    <w:pPr>
      <w:spacing w:after="20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7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A3F2E"/>
    <w:rPr>
      <w:rFonts w:asciiTheme="majorHAnsi" w:eastAsiaTheme="majorEastAsia" w:hAnsiTheme="majorHAnsi" w:cstheme="majorBidi"/>
      <w:b/>
      <w:bCs/>
      <w:color w:val="44546A" w:themeColor="text2"/>
      <w:sz w:val="7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D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D64B8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7D64B8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D64B8"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7D64B8"/>
    <w:pPr>
      <w:spacing w:after="100"/>
      <w:ind w:left="440"/>
    </w:pPr>
    <w:rPr>
      <w:rFonts w:eastAsiaTheme="minorEastAsia" w:cs="Times New Roman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F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1D3FE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utt.ly/Mrmuxs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SECRETARÍA GENERAL, GRUPO DE ADMINISTRACIÓN Y DESARROLLO DEL TALENTO HUMANO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952DD-A366-48E3-958E-E1644992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3791</Words>
  <Characters>20856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Correa Diaz</dc:creator>
  <cp:lastModifiedBy>Cesar Augusto Tovar Lucuara</cp:lastModifiedBy>
  <cp:revision>2</cp:revision>
  <dcterms:created xsi:type="dcterms:W3CDTF">2020-01-24T17:21:00Z</dcterms:created>
  <dcterms:modified xsi:type="dcterms:W3CDTF">2020-01-24T17:21:00Z</dcterms:modified>
</cp:coreProperties>
</file>